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7C78FD" w:rsidTr="007C78FD">
        <w:trPr>
          <w:gridBefore w:val="1"/>
          <w:gridAfter w:val="1"/>
          <w:wBefore w:w="28" w:type="dxa"/>
          <w:wAfter w:w="56" w:type="dxa"/>
        </w:trPr>
        <w:tc>
          <w:tcPr>
            <w:tcW w:w="8718" w:type="dxa"/>
            <w:gridSpan w:val="2"/>
            <w:hideMark/>
          </w:tcPr>
          <w:p w:rsidR="007C78FD" w:rsidRDefault="007C78FD" w:rsidP="007C78FD">
            <w:pPr>
              <w:spacing w:line="360" w:lineRule="auto"/>
              <w:rPr>
                <w:rFonts w:ascii="Times New Roman" w:hAnsi="Times New Roman"/>
                <w:b/>
                <w:bCs/>
                <w:sz w:val="26"/>
                <w:szCs w:val="26"/>
                <w:rtl/>
              </w:rPr>
            </w:pPr>
            <w:bookmarkStart w:id="0" w:name="_GoBack"/>
            <w:bookmarkEnd w:id="0"/>
            <w:r>
              <w:rPr>
                <w:rFonts w:hint="cs"/>
                <w:b/>
                <w:bCs/>
                <w:sz w:val="26"/>
                <w:szCs w:val="26"/>
                <w:rtl/>
              </w:rPr>
              <w:t>בפני:  כבוד ה</w:t>
            </w:r>
            <w:sdt>
              <w:sdtPr>
                <w:rPr>
                  <w:rtl/>
                </w:rPr>
                <w:alias w:val="165"/>
                <w:tag w:val="165"/>
                <w:id w:val="319463490"/>
                <w:text w:multiLine="1"/>
              </w:sdtPr>
              <w:sdtEndPr/>
              <w:sdtContent>
                <w:r>
                  <w:rPr>
                    <w:b/>
                    <w:bCs/>
                    <w:sz w:val="26"/>
                    <w:szCs w:val="26"/>
                    <w:rtl/>
                  </w:rPr>
                  <w:t>שופט דניאל בן טולילה – אב"ד</w:t>
                </w:r>
                <w:r>
                  <w:rPr>
                    <w:b/>
                    <w:bCs/>
                    <w:sz w:val="26"/>
                    <w:szCs w:val="26"/>
                    <w:rtl/>
                  </w:rPr>
                  <w:br/>
                  <w:t xml:space="preserve">        </w:t>
                </w:r>
                <w:r>
                  <w:rPr>
                    <w:rFonts w:hint="cs"/>
                    <w:b/>
                    <w:bCs/>
                    <w:sz w:val="26"/>
                    <w:szCs w:val="26"/>
                    <w:rtl/>
                  </w:rPr>
                  <w:t xml:space="preserve">   </w:t>
                </w:r>
                <w:r>
                  <w:rPr>
                    <w:b/>
                    <w:bCs/>
                    <w:sz w:val="26"/>
                    <w:szCs w:val="26"/>
                    <w:rtl/>
                  </w:rPr>
                  <w:t xml:space="preserve">כבוד השופטת טל לחיאני שהם </w:t>
                </w:r>
                <w:r>
                  <w:rPr>
                    <w:b/>
                    <w:bCs/>
                    <w:sz w:val="26"/>
                    <w:szCs w:val="26"/>
                    <w:rtl/>
                  </w:rPr>
                  <w:br/>
                  <w:t xml:space="preserve">        </w:t>
                </w:r>
                <w:r>
                  <w:rPr>
                    <w:rFonts w:hint="cs"/>
                    <w:b/>
                    <w:bCs/>
                    <w:sz w:val="26"/>
                    <w:szCs w:val="26"/>
                    <w:rtl/>
                  </w:rPr>
                  <w:t xml:space="preserve">   </w:t>
                </w:r>
                <w:r>
                  <w:rPr>
                    <w:b/>
                    <w:bCs/>
                    <w:sz w:val="26"/>
                    <w:szCs w:val="26"/>
                    <w:rtl/>
                  </w:rPr>
                  <w:t>כבוד השופט יואב עטר</w:t>
                </w:r>
              </w:sdtContent>
            </w:sdt>
            <w:r>
              <w:rPr>
                <w:rStyle w:val="TimesNewRomanTimesNewRoman"/>
                <w:rtl/>
              </w:rPr>
              <w:t xml:space="preserve"> </w:t>
            </w:r>
          </w:p>
        </w:tc>
      </w:tr>
      <w:tr w:rsidR="007C78FD" w:rsidTr="007C78FD">
        <w:trPr>
          <w:cantSplit/>
          <w:trHeight w:val="724"/>
        </w:trPr>
        <w:tc>
          <w:tcPr>
            <w:tcW w:w="2880" w:type="dxa"/>
            <w:gridSpan w:val="2"/>
          </w:tcPr>
          <w:p w:rsidR="007C78FD" w:rsidRDefault="007C78FD">
            <w:pPr>
              <w:ind w:left="26"/>
              <w:rPr>
                <w:rFonts w:ascii="Times New Roman" w:hAnsi="Times New Roman"/>
                <w:b/>
                <w:bCs/>
                <w:sz w:val="26"/>
                <w:szCs w:val="26"/>
                <w:rtl/>
              </w:rPr>
            </w:pPr>
          </w:p>
          <w:p w:rsidR="007C78FD" w:rsidRDefault="007C78FD">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547083FA95984873A5D85E58CEB98D61"/>
                </w:placeholder>
                <w:text w:multiLine="1"/>
              </w:sdtPr>
              <w:sdtEndPr/>
              <w:sdtContent>
                <w:r>
                  <w:rPr>
                    <w:b/>
                    <w:bCs/>
                    <w:sz w:val="26"/>
                    <w:szCs w:val="26"/>
                    <w:rtl/>
                  </w:rPr>
                  <w:t>מאשימה</w:t>
                </w:r>
              </w:sdtContent>
            </w:sdt>
          </w:p>
        </w:tc>
        <w:tc>
          <w:tcPr>
            <w:tcW w:w="5922" w:type="dxa"/>
            <w:gridSpan w:val="2"/>
          </w:tcPr>
          <w:p w:rsidR="007C78FD" w:rsidRDefault="007C78FD">
            <w:pPr>
              <w:rPr>
                <w:rFonts w:cs="Times New Roman"/>
                <w:rtl/>
              </w:rPr>
            </w:pPr>
          </w:p>
          <w:p w:rsidR="007C78FD" w:rsidRDefault="007C78FD">
            <w:pPr>
              <w:rPr>
                <w:b/>
                <w:bCs/>
                <w:sz w:val="26"/>
                <w:szCs w:val="26"/>
                <w:rtl/>
              </w:rPr>
            </w:pPr>
            <w:r>
              <w:rPr>
                <w:rtl/>
              </w:rPr>
              <w:t xml:space="preserve"> </w:t>
            </w:r>
            <w:sdt>
              <w:sdtPr>
                <w:rPr>
                  <w:rtl/>
                </w:rPr>
                <w:alias w:val="825"/>
                <w:tag w:val="825"/>
                <w:id w:val="-2140873446"/>
                <w:text w:multiLine="1"/>
              </w:sdtPr>
              <w:sdtEndPr/>
              <w:sdtContent>
                <w:r>
                  <w:rPr>
                    <w:b/>
                    <w:bCs/>
                    <w:sz w:val="26"/>
                    <w:szCs w:val="26"/>
                    <w:rtl/>
                  </w:rPr>
                  <w:t>מדינת ישראל</w:t>
                </w:r>
              </w:sdtContent>
            </w:sdt>
            <w:r>
              <w:rPr>
                <w:rFonts w:ascii="Times New Roman" w:hAnsi="Times New Roman" w:hint="cs"/>
                <w:b/>
                <w:bCs/>
                <w:sz w:val="26"/>
                <w:szCs w:val="26"/>
                <w:rtl/>
              </w:rPr>
              <w:t xml:space="preserve">  </w:t>
            </w:r>
            <w:sdt>
              <w:sdtPr>
                <w:rPr>
                  <w:rFonts w:ascii="David" w:hAnsi="David"/>
                  <w:rtl/>
                </w:rPr>
                <w:alias w:val="2688"/>
                <w:tag w:val="2688"/>
                <w:id w:val="-1957249425"/>
                <w:placeholder>
                  <w:docPart w:val="103992DE65A8434EB35686ECF0E43572"/>
                </w:placeholder>
                <w:text w:multiLine="1"/>
              </w:sdtPr>
              <w:sdtEndPr/>
              <w:sdtContent>
                <w:r w:rsidRPr="007C78FD">
                  <w:rPr>
                    <w:rFonts w:ascii="David" w:hAnsi="David"/>
                    <w:rtl/>
                  </w:rPr>
                  <w:br/>
                  <w:t>ע"י ב"כ עוה"ד</w:t>
                </w:r>
                <w:r w:rsidRPr="007C78FD">
                  <w:rPr>
                    <w:rFonts w:ascii="David" w:hAnsi="David" w:hint="cs"/>
                    <w:rtl/>
                  </w:rPr>
                  <w:t xml:space="preserve"> טל אדיר כהן</w:t>
                </w:r>
              </w:sdtContent>
            </w:sdt>
          </w:p>
        </w:tc>
      </w:tr>
      <w:tr w:rsidR="007C78FD" w:rsidTr="007C78FD">
        <w:tc>
          <w:tcPr>
            <w:tcW w:w="8802" w:type="dxa"/>
            <w:gridSpan w:val="4"/>
            <w:vAlign w:val="center"/>
          </w:tcPr>
          <w:p w:rsidR="007C78FD" w:rsidRDefault="007C78FD">
            <w:pPr>
              <w:jc w:val="center"/>
              <w:rPr>
                <w:rFonts w:ascii="Arial" w:hAnsi="Arial"/>
                <w:b/>
                <w:bCs/>
                <w:sz w:val="26"/>
                <w:szCs w:val="26"/>
                <w:rtl/>
              </w:rPr>
            </w:pPr>
          </w:p>
          <w:p w:rsidR="007C78FD" w:rsidRDefault="007C78FD">
            <w:pPr>
              <w:jc w:val="center"/>
              <w:rPr>
                <w:rFonts w:ascii="Arial" w:hAnsi="Arial"/>
                <w:b/>
                <w:bCs/>
                <w:sz w:val="26"/>
                <w:szCs w:val="26"/>
                <w:rtl/>
              </w:rPr>
            </w:pPr>
            <w:r>
              <w:rPr>
                <w:rFonts w:ascii="Arial" w:hAnsi="Arial" w:hint="cs"/>
                <w:b/>
                <w:bCs/>
                <w:sz w:val="26"/>
                <w:szCs w:val="26"/>
                <w:rtl/>
              </w:rPr>
              <w:t>נגד</w:t>
            </w:r>
          </w:p>
          <w:p w:rsidR="007C78FD" w:rsidRDefault="007C78FD">
            <w:pPr>
              <w:rPr>
                <w:rFonts w:ascii="Arial" w:hAnsi="Arial"/>
                <w:b/>
                <w:bCs/>
                <w:sz w:val="26"/>
                <w:szCs w:val="26"/>
                <w:rtl/>
              </w:rPr>
            </w:pPr>
          </w:p>
        </w:tc>
      </w:tr>
      <w:tr w:rsidR="007C78FD" w:rsidTr="007C78FD">
        <w:tc>
          <w:tcPr>
            <w:tcW w:w="2880" w:type="dxa"/>
            <w:gridSpan w:val="2"/>
            <w:hideMark/>
          </w:tcPr>
          <w:p w:rsidR="007C78FD" w:rsidRDefault="007C78FD">
            <w:pPr>
              <w:ind w:left="26"/>
              <w:rPr>
                <w:rFonts w:ascii="Times New Roman" w:hAnsi="Times New Roman"/>
                <w:b/>
                <w:bCs/>
                <w:sz w:val="26"/>
                <w:szCs w:val="26"/>
              </w:rPr>
            </w:pPr>
            <w:r>
              <w:rPr>
                <w:rFonts w:hint="cs"/>
                <w:b/>
                <w:bCs/>
                <w:sz w:val="26"/>
                <w:szCs w:val="26"/>
                <w:rtl/>
              </w:rPr>
              <w:t>ה</w:t>
            </w:r>
            <w:sdt>
              <w:sdtPr>
                <w:rPr>
                  <w:b/>
                  <w:bCs/>
                  <w:sz w:val="26"/>
                  <w:szCs w:val="26"/>
                  <w:rtl/>
                </w:rPr>
                <w:alias w:val="1265"/>
                <w:tag w:val="1265"/>
                <w:id w:val="-275248279"/>
                <w:placeholder>
                  <w:docPart w:val="1AC23BB223994E6AA5E6B485E9F4FCF1"/>
                </w:placeholder>
                <w:text w:multiLine="1"/>
              </w:sdtPr>
              <w:sdtEndPr/>
              <w:sdtContent>
                <w:r>
                  <w:rPr>
                    <w:b/>
                    <w:bCs/>
                    <w:sz w:val="26"/>
                    <w:szCs w:val="26"/>
                    <w:rtl/>
                  </w:rPr>
                  <w:t>נאשם</w:t>
                </w:r>
              </w:sdtContent>
            </w:sdt>
          </w:p>
        </w:tc>
        <w:tc>
          <w:tcPr>
            <w:tcW w:w="5922" w:type="dxa"/>
            <w:gridSpan w:val="2"/>
          </w:tcPr>
          <w:p w:rsidR="007C78FD" w:rsidRDefault="007C78FD" w:rsidP="007C78FD">
            <w:pPr>
              <w:rPr>
                <w:rFonts w:ascii="Times New Roman" w:hAnsi="Times New Roman"/>
                <w:b/>
                <w:bCs/>
                <w:sz w:val="26"/>
                <w:szCs w:val="26"/>
                <w:rtl/>
              </w:rPr>
            </w:pPr>
            <w:r>
              <w:rPr>
                <w:rtl/>
              </w:rPr>
              <w:t xml:space="preserve"> </w:t>
            </w:r>
            <w:sdt>
              <w:sdtPr>
                <w:rPr>
                  <w:rtl/>
                </w:rPr>
                <w:alias w:val="1266"/>
                <w:tag w:val="1266"/>
                <w:id w:val="-1527786861"/>
                <w:text w:multiLine="1"/>
              </w:sdtPr>
              <w:sdtEndPr/>
              <w:sdtContent>
                <w:r>
                  <w:rPr>
                    <w:b/>
                    <w:bCs/>
                    <w:sz w:val="26"/>
                    <w:szCs w:val="26"/>
                    <w:rtl/>
                  </w:rPr>
                  <w:t>מחמד מסעד (עציר)</w:t>
                </w:r>
              </w:sdtContent>
            </w:sdt>
            <w:r>
              <w:rPr>
                <w:rFonts w:ascii="Times New Roman" w:hAnsi="Times New Roman" w:cs="Times New Roman"/>
                <w:rtl/>
              </w:rPr>
              <w:t xml:space="preserve"> </w:t>
            </w:r>
          </w:p>
          <w:p w:rsidR="007C78FD" w:rsidRPr="00123C93" w:rsidRDefault="007C78FD" w:rsidP="007C78FD">
            <w:pPr>
              <w:rPr>
                <w:rtl/>
              </w:rPr>
            </w:pPr>
            <w:r w:rsidRPr="00123C93">
              <w:rPr>
                <w:rFonts w:hint="cs"/>
                <w:rtl/>
              </w:rPr>
              <w:t>ע"</w:t>
            </w:r>
            <w:r w:rsidR="00123C93" w:rsidRPr="00123C93">
              <w:rPr>
                <w:rFonts w:hint="cs"/>
                <w:rtl/>
              </w:rPr>
              <w:t xml:space="preserve"> ב"כ עוה"ד ימימה אברמוביץ'</w:t>
            </w:r>
          </w:p>
        </w:tc>
      </w:tr>
    </w:tbl>
    <w:p w:rsidR="00870F64" w:rsidRDefault="00870F64">
      <w:pPr>
        <w:rPr>
          <w:rFonts w:ascii="Arial" w:hAnsi="Arial"/>
          <w:b/>
          <w:bCs/>
          <w:u w:val="single"/>
          <w:rtl/>
        </w:rPr>
      </w:pPr>
    </w:p>
    <w:p w:rsidR="00123C93" w:rsidRDefault="00123C93">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123C93" w:rsidRDefault="00123C93" w:rsidP="00123C93">
      <w:pPr>
        <w:spacing w:before="120" w:after="120" w:line="360" w:lineRule="auto"/>
        <w:jc w:val="both"/>
        <w:rPr>
          <w:rFonts w:ascii="David" w:hAnsi="David"/>
          <w:b/>
          <w:bCs/>
          <w:u w:val="single"/>
        </w:rPr>
      </w:pPr>
      <w:r>
        <w:rPr>
          <w:rFonts w:ascii="David" w:hAnsi="David"/>
          <w:b/>
          <w:bCs/>
          <w:u w:val="single"/>
          <w:rtl/>
        </w:rPr>
        <w:t>כב' הש' דניאל בן טולילה</w:t>
      </w:r>
      <w:r>
        <w:rPr>
          <w:rFonts w:ascii="David" w:hAnsi="David"/>
          <w:b/>
          <w:bCs/>
          <w:rtl/>
        </w:rPr>
        <w:t>:</w:t>
      </w:r>
    </w:p>
    <w:p w:rsidR="00987F99" w:rsidRPr="00987F99" w:rsidRDefault="00987F99" w:rsidP="00987F99">
      <w:pPr>
        <w:spacing w:after="160" w:line="360" w:lineRule="auto"/>
        <w:jc w:val="both"/>
        <w:rPr>
          <w:rFonts w:ascii="David" w:eastAsia="Calibri" w:hAnsi="David"/>
          <w:b/>
          <w:bCs/>
          <w:u w:val="single"/>
          <w:rtl/>
        </w:rPr>
      </w:pPr>
      <w:r w:rsidRPr="00987F99">
        <w:rPr>
          <w:rFonts w:ascii="David" w:eastAsia="Calibri" w:hAnsi="David"/>
          <w:b/>
          <w:bCs/>
          <w:u w:val="single"/>
          <w:rtl/>
        </w:rPr>
        <w:t>מבוא:</w:t>
      </w:r>
    </w:p>
    <w:p w:rsidR="00987F99" w:rsidRPr="00987F99" w:rsidRDefault="00987F99" w:rsidP="008E5FF0">
      <w:pPr>
        <w:spacing w:after="160" w:line="360" w:lineRule="auto"/>
        <w:jc w:val="both"/>
        <w:rPr>
          <w:rFonts w:ascii="David" w:eastAsia="Calibri" w:hAnsi="David"/>
          <w:rtl/>
        </w:rPr>
      </w:pPr>
      <w:r w:rsidRPr="00987F99">
        <w:rPr>
          <w:rFonts w:ascii="David" w:eastAsia="Calibri" w:hAnsi="David"/>
          <w:rtl/>
        </w:rPr>
        <w:t>ביום 6.</w:t>
      </w:r>
      <w:r w:rsidR="008E5FF0">
        <w:rPr>
          <w:rFonts w:ascii="David" w:eastAsia="Calibri" w:hAnsi="David" w:hint="cs"/>
          <w:rtl/>
        </w:rPr>
        <w:t>1</w:t>
      </w:r>
      <w:r w:rsidRPr="00987F99">
        <w:rPr>
          <w:rFonts w:ascii="David" w:eastAsia="Calibri" w:hAnsi="David"/>
          <w:rtl/>
        </w:rPr>
        <w:t>.15</w:t>
      </w:r>
      <w:r w:rsidR="00CC6733">
        <w:rPr>
          <w:rFonts w:ascii="David" w:eastAsia="Calibri" w:hAnsi="David" w:hint="cs"/>
          <w:rtl/>
        </w:rPr>
        <w:t>,</w:t>
      </w:r>
      <w:r w:rsidRPr="00987F99">
        <w:rPr>
          <w:rFonts w:ascii="David" w:eastAsia="Calibri" w:hAnsi="David"/>
          <w:rtl/>
        </w:rPr>
        <w:t xml:space="preserve"> במשרדי המועצה ערערה בנגב, ירה הנאשם מאקדחו ירייה אחת לעבר ראשו של מנהל מחלקת הגביה של המועצה, ת</w:t>
      </w:r>
      <w:r w:rsidR="00CC6733">
        <w:rPr>
          <w:rFonts w:ascii="David" w:eastAsia="Calibri" w:hAnsi="David" w:hint="cs"/>
          <w:rtl/>
        </w:rPr>
        <w:t>.מ</w:t>
      </w:r>
      <w:r w:rsidRPr="00987F99">
        <w:rPr>
          <w:rFonts w:ascii="David" w:eastAsia="Calibri" w:hAnsi="David"/>
          <w:rtl/>
        </w:rPr>
        <w:t xml:space="preserve"> ז"ל (להלן: "</w:t>
      </w:r>
      <w:r w:rsidR="00CC6733">
        <w:rPr>
          <w:rFonts w:ascii="David" w:eastAsia="Calibri" w:hAnsi="David"/>
          <w:b/>
          <w:bCs/>
          <w:rtl/>
        </w:rPr>
        <w:t>ת</w:t>
      </w:r>
      <w:r w:rsidR="00CC6733">
        <w:rPr>
          <w:rFonts w:ascii="David" w:eastAsia="Calibri" w:hAnsi="David" w:hint="cs"/>
          <w:b/>
          <w:bCs/>
          <w:rtl/>
        </w:rPr>
        <w:t>.מ</w:t>
      </w:r>
      <w:r w:rsidRPr="00987F99">
        <w:rPr>
          <w:rFonts w:ascii="David" w:eastAsia="Calibri" w:hAnsi="David"/>
          <w:rtl/>
        </w:rPr>
        <w:t>" או "</w:t>
      </w:r>
      <w:r w:rsidRPr="00987F99">
        <w:rPr>
          <w:rFonts w:ascii="David" w:eastAsia="Calibri" w:hAnsi="David"/>
          <w:b/>
          <w:bCs/>
          <w:rtl/>
        </w:rPr>
        <w:t>המנוח</w:t>
      </w:r>
      <w:r w:rsidRPr="00987F99">
        <w:rPr>
          <w:rFonts w:ascii="David" w:eastAsia="Calibri" w:hAnsi="David"/>
          <w:rtl/>
        </w:rPr>
        <w:t xml:space="preserve">") ופצע אותו קשות. </w:t>
      </w:r>
      <w:r w:rsidR="00CC6733">
        <w:rPr>
          <w:rFonts w:ascii="David" w:eastAsia="Calibri" w:hAnsi="David"/>
          <w:rtl/>
        </w:rPr>
        <w:t>ת.מ</w:t>
      </w:r>
      <w:r w:rsidRPr="00987F99">
        <w:rPr>
          <w:rFonts w:ascii="David" w:eastAsia="Calibri" w:hAnsi="David"/>
          <w:rtl/>
        </w:rPr>
        <w:t xml:space="preserve"> שרד את הירי בראשו ואולם נותר במצב סיעודי. בחלוף חמש שנים, ביום 20.</w:t>
      </w:r>
      <w:r>
        <w:rPr>
          <w:rFonts w:ascii="David" w:eastAsia="Calibri" w:hAnsi="David" w:hint="cs"/>
          <w:rtl/>
        </w:rPr>
        <w:t>2</w:t>
      </w:r>
      <w:r w:rsidRPr="00987F99">
        <w:rPr>
          <w:rFonts w:ascii="David" w:eastAsia="Calibri" w:hAnsi="David"/>
          <w:rtl/>
        </w:rPr>
        <w:t xml:space="preserve">.20, בעקבות דלקת ריאות שהביאה לקריסת ריאותיו, </w:t>
      </w:r>
      <w:r w:rsidR="00CC6733">
        <w:rPr>
          <w:rFonts w:ascii="David" w:eastAsia="Calibri" w:hAnsi="David"/>
          <w:rtl/>
        </w:rPr>
        <w:t>ת.מ</w:t>
      </w:r>
      <w:r w:rsidRPr="00987F99">
        <w:rPr>
          <w:rFonts w:ascii="David" w:eastAsia="Calibri" w:hAnsi="David"/>
          <w:rtl/>
        </w:rPr>
        <w:t xml:space="preserve"> נפטר.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לטענת המאשימה, מותו של </w:t>
      </w:r>
      <w:r w:rsidR="00CC6733">
        <w:rPr>
          <w:rFonts w:ascii="David" w:eastAsia="Calibri" w:hAnsi="David"/>
          <w:rtl/>
        </w:rPr>
        <w:t>ת.מ</w:t>
      </w:r>
      <w:r w:rsidRPr="00987F99">
        <w:rPr>
          <w:rFonts w:ascii="David" w:eastAsia="Calibri" w:hAnsi="David"/>
          <w:rtl/>
        </w:rPr>
        <w:t xml:space="preserve"> בשנת 2020 נגרם כתוצאה מהירייה בראשו בשנת 2015. לטענת ההגנה, הגם שאין חולק שהנאשם ירה בראשו של </w:t>
      </w:r>
      <w:r w:rsidR="00CC6733">
        <w:rPr>
          <w:rFonts w:ascii="David" w:eastAsia="Calibri" w:hAnsi="David"/>
          <w:rtl/>
        </w:rPr>
        <w:t>ת.מ</w:t>
      </w:r>
      <w:r w:rsidRPr="00987F99">
        <w:rPr>
          <w:rFonts w:ascii="David" w:eastAsia="Calibri" w:hAnsi="David"/>
          <w:rtl/>
        </w:rPr>
        <w:t xml:space="preserve">, אין קשר סיבתי עובדתי או משפטי בין הירי לבין המוות. זו היא השאלה העיקרית לה אנו נדרשים במסגרת הכרעת דין זו. </w:t>
      </w:r>
    </w:p>
    <w:p w:rsidR="00987F99" w:rsidRPr="00987F99" w:rsidRDefault="00987F99" w:rsidP="00987F99">
      <w:pPr>
        <w:spacing w:after="160" w:line="360" w:lineRule="auto"/>
        <w:jc w:val="both"/>
        <w:rPr>
          <w:rFonts w:ascii="David" w:eastAsia="Calibri" w:hAnsi="David"/>
          <w:b/>
          <w:bCs/>
          <w:u w:val="single"/>
          <w:rtl/>
        </w:rPr>
      </w:pPr>
      <w:r w:rsidRPr="00987F99">
        <w:rPr>
          <w:rFonts w:ascii="David" w:eastAsia="Calibri" w:hAnsi="David"/>
          <w:b/>
          <w:bCs/>
          <w:u w:val="single"/>
          <w:rtl/>
        </w:rPr>
        <w:t>השתלשלות ההליכים המשפטיים בתיק:</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ביום 25.01.15 הוגש נגד הנאשם כתב אישום במסגרת תפ"ח 51088-01-15 (מחוזי באר-שבע) המייחס לו עבירה של ניסיון רצח, בהתאם להוראת </w:t>
      </w:r>
      <w:r w:rsidRPr="00987F99">
        <w:rPr>
          <w:rFonts w:ascii="David" w:eastAsia="Calibri" w:hAnsi="David"/>
          <w:b/>
          <w:bCs/>
          <w:rtl/>
        </w:rPr>
        <w:t>סעיף 305(1) לחוק העונשין, התשל"ז-1977</w:t>
      </w:r>
      <w:r w:rsidRPr="00987F99">
        <w:rPr>
          <w:rFonts w:ascii="David" w:eastAsia="Calibri" w:hAnsi="David"/>
          <w:rtl/>
        </w:rPr>
        <w:t xml:space="preserve"> (להלן: "</w:t>
      </w:r>
      <w:r w:rsidRPr="00987F99">
        <w:rPr>
          <w:rFonts w:ascii="David" w:eastAsia="Calibri" w:hAnsi="David"/>
          <w:b/>
          <w:bCs/>
          <w:rtl/>
        </w:rPr>
        <w:t>החוק</w:t>
      </w:r>
      <w:r w:rsidRPr="00987F99">
        <w:rPr>
          <w:rFonts w:ascii="David" w:eastAsia="Calibri" w:hAnsi="David"/>
          <w:rtl/>
        </w:rPr>
        <w:t xml:space="preserve">"). לאחר שנוהלו הוכחות, נשמעו עדי התביעה וההגנה, ניתנה ביום 29.01.17 הכרעת הדין במסגרתה הורשע הנאשם בעבירה שיוחסה לו. ביום 6.04.17 גזר בית המשפט על הנאשם 18 שנות מאסר לריצוי בפועל, מאסר מותנה ופיצוי למשפחת המנוח בסך 258,000 ₪.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הנאשם לא השלים עם תוצאה זו והגיש ערעור על הכרעת הדין ועל גזר הדין לבית המשפט העליון. לאחר שנערך דיון בערעור, ולאור המלצת בית המשפט העליון, הודיע הנאשם באמצעות בא כוחו כי </w:t>
      </w:r>
      <w:r w:rsidRPr="00987F99">
        <w:rPr>
          <w:rFonts w:ascii="David" w:eastAsia="Calibri" w:hAnsi="David"/>
          <w:rtl/>
        </w:rPr>
        <w:lastRenderedPageBreak/>
        <w:t xml:space="preserve">הוא מבקש לחזור בו מערעורו ולמחקו וכך נעשה. (ר' </w:t>
      </w:r>
      <w:r w:rsidRPr="00987F99">
        <w:rPr>
          <w:rFonts w:ascii="David" w:eastAsia="Calibri" w:hAnsi="David"/>
          <w:b/>
          <w:bCs/>
          <w:rtl/>
        </w:rPr>
        <w:t>ע"פ 3810/17</w:t>
      </w:r>
      <w:r w:rsidRPr="00987F99">
        <w:rPr>
          <w:rFonts w:ascii="David" w:eastAsia="Calibri" w:hAnsi="David"/>
          <w:rtl/>
        </w:rPr>
        <w:t xml:space="preserve"> פסק דין מיום 5.8.19) (הכל ביחד ולשם הנוחות: </w:t>
      </w:r>
      <w:r w:rsidRPr="00987F99">
        <w:rPr>
          <w:rFonts w:ascii="David" w:eastAsia="Calibri" w:hAnsi="David"/>
          <w:b/>
          <w:bCs/>
          <w:rtl/>
        </w:rPr>
        <w:t>"תיק ניסיון הרצח"</w:t>
      </w:r>
      <w:r w:rsidRPr="00987F99">
        <w:rPr>
          <w:rFonts w:ascii="David" w:eastAsia="Calibri" w:hAnsi="David"/>
          <w:rtl/>
        </w:rPr>
        <w:t xml:space="preserve">).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ביום </w:t>
      </w:r>
      <w:r w:rsidRPr="00987F99">
        <w:rPr>
          <w:rFonts w:ascii="David" w:eastAsia="Calibri" w:hAnsi="David"/>
          <w:u w:val="single"/>
          <w:rtl/>
        </w:rPr>
        <w:t>20.02.20</w:t>
      </w:r>
      <w:r w:rsidRPr="00987F99">
        <w:rPr>
          <w:rFonts w:ascii="David" w:eastAsia="Calibri" w:hAnsi="David"/>
          <w:rtl/>
        </w:rPr>
        <w:t xml:space="preserve">, חמש שנים לאחר שנורה בראשו, </w:t>
      </w:r>
      <w:r w:rsidR="00CC6733">
        <w:rPr>
          <w:rFonts w:ascii="David" w:eastAsia="Calibri" w:hAnsi="David"/>
          <w:rtl/>
        </w:rPr>
        <w:t>ת.מ</w:t>
      </w:r>
      <w:r w:rsidRPr="00987F99">
        <w:rPr>
          <w:rFonts w:ascii="David" w:eastAsia="Calibri" w:hAnsi="David"/>
          <w:rtl/>
        </w:rPr>
        <w:t xml:space="preserve"> נפטר. לאור האמור, בהתאם להוראת </w:t>
      </w:r>
      <w:r w:rsidRPr="00987F99">
        <w:rPr>
          <w:rFonts w:ascii="David" w:eastAsia="Calibri" w:hAnsi="David"/>
          <w:b/>
          <w:bCs/>
          <w:rtl/>
        </w:rPr>
        <w:t>סעיף 5 לחוק סדר הדין הפלילי [נוסח משולב], התשמ"ב-1982</w:t>
      </w:r>
      <w:r w:rsidRPr="00987F99">
        <w:rPr>
          <w:rFonts w:ascii="David" w:eastAsia="Calibri" w:hAnsi="David"/>
          <w:rtl/>
        </w:rPr>
        <w:t xml:space="preserve">, הנאשם הועמד לדין פעם נוספת, במסגרת תיקנו, ובזו הפעם בגין עבירת רצח בהתאם להוראת </w:t>
      </w:r>
      <w:r w:rsidRPr="00987F99">
        <w:rPr>
          <w:rFonts w:ascii="David" w:eastAsia="Calibri" w:hAnsi="David"/>
          <w:b/>
          <w:bCs/>
          <w:rtl/>
        </w:rPr>
        <w:t>סעיף 300(א) לחוק</w:t>
      </w:r>
      <w:r w:rsidRPr="00987F99">
        <w:rPr>
          <w:rFonts w:ascii="David" w:eastAsia="Calibri" w:hAnsi="David"/>
          <w:rtl/>
        </w:rPr>
        <w:t xml:space="preserve">. </w:t>
      </w:r>
    </w:p>
    <w:p w:rsidR="00987F99" w:rsidRPr="00987F99" w:rsidRDefault="00987F99" w:rsidP="00987F99">
      <w:pPr>
        <w:spacing w:after="160" w:line="256" w:lineRule="auto"/>
        <w:jc w:val="center"/>
        <w:rPr>
          <w:rFonts w:ascii="David" w:eastAsia="Calibri" w:hAnsi="David"/>
          <w:b/>
          <w:bCs/>
          <w:u w:val="single"/>
          <w:rtl/>
        </w:rPr>
      </w:pPr>
      <w:r w:rsidRPr="00987F99">
        <w:rPr>
          <w:rFonts w:ascii="David" w:eastAsia="Calibri" w:hAnsi="David"/>
          <w:b/>
          <w:bCs/>
          <w:u w:val="single"/>
          <w:rtl/>
        </w:rPr>
        <w:t>כתב האישום בעבירת הרצח:</w:t>
      </w:r>
    </w:p>
    <w:p w:rsidR="00987F99" w:rsidRPr="00987F99" w:rsidRDefault="00987F99" w:rsidP="00987F99">
      <w:pPr>
        <w:spacing w:after="160" w:line="256" w:lineRule="auto"/>
        <w:jc w:val="both"/>
        <w:rPr>
          <w:rFonts w:ascii="David" w:eastAsia="Calibri" w:hAnsi="David"/>
          <w:b/>
          <w:bCs/>
          <w:rtl/>
        </w:rPr>
      </w:pPr>
      <w:r w:rsidRPr="00987F99">
        <w:rPr>
          <w:rFonts w:ascii="David" w:eastAsia="Calibri" w:hAnsi="David"/>
          <w:b/>
          <w:bCs/>
          <w:u w:val="single"/>
          <w:rtl/>
        </w:rPr>
        <w:t>פרק כללי</w:t>
      </w:r>
      <w:r w:rsidRPr="00987F99">
        <w:rPr>
          <w:rFonts w:ascii="David" w:eastAsia="Calibri" w:hAnsi="David"/>
          <w:b/>
          <w:bCs/>
          <w:rtl/>
        </w:rPr>
        <w:t>:</w:t>
      </w:r>
    </w:p>
    <w:p w:rsidR="00987F99" w:rsidRPr="00987F99" w:rsidRDefault="00CC6733" w:rsidP="00CC6733">
      <w:pPr>
        <w:spacing w:after="160" w:line="360" w:lineRule="auto"/>
        <w:jc w:val="both"/>
        <w:rPr>
          <w:rFonts w:ascii="David" w:eastAsia="Calibri" w:hAnsi="David"/>
          <w:rtl/>
        </w:rPr>
      </w:pPr>
      <w:r>
        <w:rPr>
          <w:rFonts w:ascii="David" w:eastAsia="Calibri" w:hAnsi="David"/>
          <w:rtl/>
        </w:rPr>
        <w:t>ת.מ</w:t>
      </w:r>
      <w:r w:rsidR="00987F99" w:rsidRPr="00987F99">
        <w:rPr>
          <w:rFonts w:ascii="David" w:eastAsia="Calibri" w:hAnsi="David"/>
          <w:rtl/>
        </w:rPr>
        <w:t xml:space="preserve"> שימש, במועד הרלוונטי לכתב האישום כמנהל הגבייה, אכיפה והוצאה לפועל, מטעם חברת מילגם, במועצה מקומית ערוער (להלן: "</w:t>
      </w:r>
      <w:r w:rsidR="00987F99" w:rsidRPr="00987F99">
        <w:rPr>
          <w:rFonts w:ascii="David" w:eastAsia="Calibri" w:hAnsi="David"/>
          <w:b/>
          <w:bCs/>
          <w:rtl/>
        </w:rPr>
        <w:t>הגבייה</w:t>
      </w:r>
      <w:r w:rsidR="00987F99" w:rsidRPr="00987F99">
        <w:rPr>
          <w:rFonts w:ascii="David" w:eastAsia="Calibri" w:hAnsi="David"/>
          <w:rtl/>
        </w:rPr>
        <w:t>", ו"</w:t>
      </w:r>
      <w:r w:rsidR="00987F99" w:rsidRPr="00987F99">
        <w:rPr>
          <w:rFonts w:ascii="David" w:eastAsia="Calibri" w:hAnsi="David"/>
          <w:b/>
          <w:bCs/>
          <w:rtl/>
        </w:rPr>
        <w:t>המועצה</w:t>
      </w:r>
      <w:r w:rsidR="00987F99" w:rsidRPr="00987F99">
        <w:rPr>
          <w:rFonts w:ascii="David" w:eastAsia="Calibri" w:hAnsi="David"/>
          <w:rtl/>
        </w:rPr>
        <w:t xml:space="preserve">").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הנאשם הוא הבעלים הרשום של מגרש שעליו עומדים שני בתים, הרשום כמספר 62, בשכונה 3 בערוער. באחד הבתים מתגוררת גרושתו של הנאשם, יחד עם בנותיה וכן אחד מבניה עם משפחתו. בבית הנוסף על המגרש, מתגוררים שני בנים של הנאשם (להלן: "</w:t>
      </w:r>
      <w:r w:rsidRPr="00987F99">
        <w:rPr>
          <w:rFonts w:ascii="David" w:eastAsia="Calibri" w:hAnsi="David"/>
          <w:b/>
          <w:bCs/>
          <w:rtl/>
        </w:rPr>
        <w:t>המגרש</w:t>
      </w:r>
      <w:r w:rsidRPr="00987F99">
        <w:rPr>
          <w:rFonts w:ascii="David" w:eastAsia="Calibri" w:hAnsi="David"/>
          <w:rtl/>
        </w:rPr>
        <w:t xml:space="preserve">"). קיים חוב למועצה, באשר לתשלומי חובה שונים, לעניין שני הבתים שעל המגרש.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הנאשם במועדים הרלוונטיים לכתב האישום, החזיק ברישיון אקדח מסוג טאורוס, שמספרו הסידורי </w:t>
      </w:r>
      <w:r w:rsidRPr="00987F99">
        <w:rPr>
          <w:rFonts w:ascii="David" w:eastAsia="Calibri" w:hAnsi="David"/>
        </w:rPr>
        <w:t>TND69354</w:t>
      </w:r>
      <w:r w:rsidRPr="00987F99">
        <w:rPr>
          <w:rFonts w:ascii="David" w:eastAsia="Calibri" w:hAnsi="David"/>
          <w:rtl/>
        </w:rPr>
        <w:t xml:space="preserve"> קליבר 9 מ"מ (להלן: "</w:t>
      </w:r>
      <w:r w:rsidRPr="00987F99">
        <w:rPr>
          <w:rFonts w:ascii="David" w:eastAsia="Calibri" w:hAnsi="David"/>
          <w:b/>
          <w:bCs/>
          <w:rtl/>
        </w:rPr>
        <w:t>האקדח</w:t>
      </w:r>
      <w:r w:rsidRPr="00987F99">
        <w:rPr>
          <w:rFonts w:ascii="David" w:eastAsia="Calibri" w:hAnsi="David"/>
          <w:rtl/>
        </w:rPr>
        <w:t xml:space="preserve">"). </w:t>
      </w:r>
    </w:p>
    <w:p w:rsidR="00987F99" w:rsidRPr="00987F99" w:rsidRDefault="00987F99" w:rsidP="00987F99">
      <w:pPr>
        <w:spacing w:after="160" w:line="360" w:lineRule="auto"/>
        <w:jc w:val="both"/>
        <w:rPr>
          <w:rFonts w:ascii="David" w:eastAsia="Calibri" w:hAnsi="David"/>
          <w:b/>
          <w:bCs/>
          <w:rtl/>
        </w:rPr>
      </w:pPr>
      <w:r w:rsidRPr="00987F99">
        <w:rPr>
          <w:rFonts w:ascii="David" w:eastAsia="Calibri" w:hAnsi="David"/>
          <w:b/>
          <w:bCs/>
          <w:rtl/>
        </w:rPr>
        <w:t>העובדות:</w:t>
      </w:r>
    </w:p>
    <w:p w:rsidR="00987F99" w:rsidRPr="00987F99" w:rsidRDefault="00987F99" w:rsidP="008E5FF0">
      <w:pPr>
        <w:numPr>
          <w:ilvl w:val="0"/>
          <w:numId w:val="7"/>
        </w:numPr>
        <w:spacing w:after="160" w:line="360" w:lineRule="auto"/>
        <w:contextualSpacing/>
        <w:jc w:val="both"/>
        <w:rPr>
          <w:rFonts w:ascii="David" w:eastAsia="Calibri" w:hAnsi="David"/>
          <w:rtl/>
        </w:rPr>
      </w:pPr>
      <w:r w:rsidRPr="00987F99">
        <w:rPr>
          <w:rFonts w:ascii="David" w:eastAsia="Calibri" w:hAnsi="David"/>
          <w:rtl/>
        </w:rPr>
        <w:t>ביום 6.</w:t>
      </w:r>
      <w:r w:rsidR="008E5FF0">
        <w:rPr>
          <w:rFonts w:ascii="David" w:eastAsia="Calibri" w:hAnsi="David" w:hint="cs"/>
          <w:rtl/>
        </w:rPr>
        <w:t>1</w:t>
      </w:r>
      <w:r w:rsidRPr="00987F99">
        <w:rPr>
          <w:rFonts w:ascii="David" w:eastAsia="Calibri" w:hAnsi="David"/>
          <w:rtl/>
        </w:rPr>
        <w:t xml:space="preserve">.15, לפי תכנון מראש, במהלך הבוקר, הגיעו צוות מעקלים ושוטרים שעבדו בשכר, על מנת לעקל רכוש מהבית בו מתגוררת גרושתו של הנאשם, על חשבון החוב.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בתו של הנאשם התקשרה אליו ודיווחה אודות העיקול, והנאשם שוחח בטלפון עם המעקלים וטען כי החוב שולם. לאחר בירור עם המנוח, נמשך העיקול, והוצא רכוש מהבית במסגרת הצו.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סמוך לפני השעה 13:00, הנאשם הגיע למשרדי הגבייה, כשהוא מצויד באקדח ובתחמושת, ומסתיר את האקדח בבגדיו כשהוא טעון.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הנאשם שוחח עם המנוח במשרדו והתווכח עמו על החוב, ולאחר מכן, הלכו השניים למשרדו של גזבר המועצה (להלן: "</w:t>
      </w:r>
      <w:r w:rsidRPr="00987F99">
        <w:rPr>
          <w:rFonts w:ascii="David" w:eastAsia="Calibri" w:hAnsi="David"/>
          <w:b/>
          <w:bCs/>
          <w:rtl/>
        </w:rPr>
        <w:t>הגזבר</w:t>
      </w:r>
      <w:r w:rsidRPr="00987F99">
        <w:rPr>
          <w:rFonts w:ascii="David" w:eastAsia="Calibri" w:hAnsi="David"/>
          <w:rtl/>
        </w:rPr>
        <w:t>"), בו ישב באותה עת גם סגן ראש המועצה.</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לאחר ששוחחו, התווכחו, הוחלט לפי הצעתו של סגן ראש המועצה, כי תכונס מחר ישיבה בנוכחות ראש המועצה, גזבר המועצה, מנהל הגבייה של המועצה והמנוח, ובה יפתרו את המחלוקות והבעיות, יצא המנוח מהמשרד, לכיוון חדר המזכירות, שם ישבו באותה עת חמש עובדות של המועצה.</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lastRenderedPageBreak/>
        <w:t>הנאשם הלך אחרי המנוח, כשהוא שולף את האקדח הטעון שהיה מוסתר בבגדיו. הנאשם כיוון את האקדח לעבר ראשו של המנוח, בכוונה לפגוע בו ולגרום למותו.</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כשהמנוח נכנס לחדר המזכירות, והנאשם עמד ליד הדלת המחברת בין החדרים, במרחק של כמטר מהמנוח, קרא הנאשם דבר מה לעבר המנוח. המנוח החל להסתובב לאחור לכיוון הנאשם, ואז הנאשם כיוון את האקדח לראשו של המנוח וירה במנוח באקדח ירייה אחת, שפגעה בראשו ובפניו של המנוח, אשר נפל על הרצפה.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הקליע חדר מאזור הלסת של המנוח ליד העין בצד ימין, ויצא מהרקה השמאלית, כשבדרכו פגע בעצמות הפנים, פגע בשתי העיניים, ובכלי דם ראשיים של המוח, וריסק חלק מעצמות הגולגולת. בשל פגיעת הקליע, נגרמו שברים בגולגולת, ונגרמו לנפגע דימומים מוחיים רבים.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לאחר מכן, חזר הנאשם לחדרו של הגזבר, שם היו סגן ראש המועצה והגזבר, כשהוא מחזיק את האקדח בידו. סגן ראש המועצה ניגש במהירות לנאשם, ואחז בידו הימנית של הנאשם, שבה היה האקדח, וטלטל את היד, עד שהנאשם הפיל את האקדח. לאחר מכן, בסיוע עובדים נוספים, הצליחו להשתלט על הנאשם ונעלו אותו בחדר אחר, עד הגעת המשטרה.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המנוח הובהל למרכז הרפואי סורוקה, שם בוצע בו ניתוח חירום, במהלכו הוצאו חלק מעצמות הגולגולת על מנת להקל על הלחץ התוך גולגלתי. המנוח נזקק לניתוחים נוספים ואושפז בבתי חולים שונים.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מעשיו של הנאשם גרמו למנוח פגיעות קשות בשתי העיניים, המוערכות כעיוורון דו צדדי מלא, שברים בעצמות הגולגולת, כולל בארובות העיניים, ואניוריזמה (מפרצת) בכלי הדם של המנוח. </w:t>
      </w:r>
    </w:p>
    <w:p w:rsidR="00987F99" w:rsidRPr="00987F99" w:rsidRDefault="00987F99" w:rsidP="00987F99">
      <w:pPr>
        <w:numPr>
          <w:ilvl w:val="0"/>
          <w:numId w:val="7"/>
        </w:numPr>
        <w:spacing w:after="160" w:line="360" w:lineRule="auto"/>
        <w:contextualSpacing/>
        <w:jc w:val="both"/>
        <w:rPr>
          <w:rFonts w:ascii="David" w:eastAsia="Calibri" w:hAnsi="David"/>
        </w:rPr>
      </w:pPr>
      <w:r w:rsidRPr="00987F99">
        <w:rPr>
          <w:rFonts w:ascii="David" w:eastAsia="Calibri" w:hAnsi="David"/>
          <w:rtl/>
        </w:rPr>
        <w:t xml:space="preserve">בהמשך, אושפז המנוח תקופות ממושכות בבית חולים שיקומי בית לוונשטיין, והיה במעקב וטיפול במרפאת שיקום בבית החולים סורוקה וזאת מבלי יכולת לתקשר, כשהוא סובל מפגיעה מוחית חמורה שגרמה לקושי בשליטה בדרכי האוויר ובהפרשות מהן. בעקבות מצב זה היה המנוח חשוף לאורך השנים למספר אירועים זיהומיים של דרכי האוויר והריאות אשר גרמו בתאריך 16.02.20 לדלקת ריאות חריפה עם כשל נשימתי שהצריך חיבור למכונת הנשמה והעברתו של המנוח ליחידה לטיפול נמרץ שם נפטר בתאריך 20.02.20, וזאת בשל הפגיעה בראשו כתוצאה ממעשי הנאשם. </w:t>
      </w:r>
    </w:p>
    <w:p w:rsidR="00CC6733" w:rsidRDefault="00CC6733" w:rsidP="0095140D">
      <w:pPr>
        <w:spacing w:before="120" w:after="120" w:line="360" w:lineRule="auto"/>
        <w:jc w:val="both"/>
        <w:rPr>
          <w:rFonts w:ascii="David" w:eastAsia="Calibri" w:hAnsi="David"/>
          <w:b/>
          <w:bCs/>
          <w:u w:val="single"/>
          <w:rtl/>
        </w:rPr>
      </w:pPr>
    </w:p>
    <w:p w:rsidR="00987F99" w:rsidRPr="00987F99" w:rsidRDefault="00CC6733" w:rsidP="0095140D">
      <w:pPr>
        <w:spacing w:before="120" w:after="120" w:line="360" w:lineRule="auto"/>
        <w:jc w:val="both"/>
        <w:rPr>
          <w:rFonts w:ascii="David" w:eastAsia="Calibri" w:hAnsi="David"/>
          <w:b/>
          <w:bCs/>
          <w:u w:val="single"/>
        </w:rPr>
      </w:pPr>
      <w:r>
        <w:rPr>
          <w:rFonts w:ascii="David" w:eastAsia="Calibri" w:hAnsi="David"/>
          <w:b/>
          <w:bCs/>
          <w:u w:val="single"/>
          <w:rtl/>
        </w:rPr>
        <w:t>הורא</w:t>
      </w:r>
      <w:r w:rsidR="00987F99" w:rsidRPr="00987F99">
        <w:rPr>
          <w:rFonts w:ascii="David" w:eastAsia="Calibri" w:hAnsi="David"/>
          <w:b/>
          <w:bCs/>
          <w:u w:val="single"/>
          <w:rtl/>
        </w:rPr>
        <w:t xml:space="preserve">ת </w:t>
      </w:r>
      <w:r>
        <w:rPr>
          <w:rFonts w:ascii="David" w:eastAsia="Calibri" w:hAnsi="David" w:hint="cs"/>
          <w:b/>
          <w:bCs/>
          <w:u w:val="single"/>
          <w:rtl/>
        </w:rPr>
        <w:t>ה</w:t>
      </w:r>
      <w:r w:rsidR="00987F99" w:rsidRPr="00987F99">
        <w:rPr>
          <w:rFonts w:ascii="David" w:eastAsia="Calibri" w:hAnsi="David"/>
          <w:b/>
          <w:bCs/>
          <w:u w:val="single"/>
          <w:rtl/>
        </w:rPr>
        <w:t>חיקוק:</w:t>
      </w:r>
    </w:p>
    <w:p w:rsidR="00987F99" w:rsidRPr="00987F99" w:rsidRDefault="00987F99" w:rsidP="0095140D">
      <w:pPr>
        <w:spacing w:before="120" w:after="120" w:line="256" w:lineRule="auto"/>
        <w:rPr>
          <w:rFonts w:ascii="David" w:eastAsia="Calibri" w:hAnsi="David"/>
          <w:rtl/>
        </w:rPr>
      </w:pPr>
      <w:r w:rsidRPr="00987F99">
        <w:rPr>
          <w:rFonts w:ascii="David" w:eastAsia="Calibri" w:hAnsi="David"/>
          <w:rtl/>
        </w:rPr>
        <w:t>רצח – עבירה לפי סעיף 300(א) לחוק העונשין, התשל"ז-1977 (בנוסחו מיום 1.7.19).</w:t>
      </w:r>
    </w:p>
    <w:p w:rsidR="00CC6733" w:rsidRDefault="00CC6733" w:rsidP="0095140D">
      <w:pPr>
        <w:spacing w:before="160" w:after="160" w:line="256" w:lineRule="auto"/>
        <w:jc w:val="center"/>
        <w:rPr>
          <w:rFonts w:ascii="David" w:eastAsia="Calibri" w:hAnsi="David"/>
          <w:b/>
          <w:bCs/>
          <w:u w:val="single"/>
          <w:rtl/>
        </w:rPr>
      </w:pPr>
    </w:p>
    <w:p w:rsidR="00CC6733" w:rsidRDefault="00CC6733" w:rsidP="0095140D">
      <w:pPr>
        <w:spacing w:before="160" w:after="160" w:line="256" w:lineRule="auto"/>
        <w:jc w:val="center"/>
        <w:rPr>
          <w:rFonts w:ascii="David" w:eastAsia="Calibri" w:hAnsi="David"/>
          <w:b/>
          <w:bCs/>
          <w:u w:val="single"/>
          <w:rtl/>
        </w:rPr>
      </w:pPr>
    </w:p>
    <w:p w:rsidR="00CC6733" w:rsidRDefault="00CC6733" w:rsidP="0095140D">
      <w:pPr>
        <w:spacing w:before="160" w:after="160" w:line="256" w:lineRule="auto"/>
        <w:jc w:val="center"/>
        <w:rPr>
          <w:rFonts w:ascii="David" w:eastAsia="Calibri" w:hAnsi="David"/>
          <w:b/>
          <w:bCs/>
          <w:u w:val="single"/>
          <w:rtl/>
        </w:rPr>
      </w:pPr>
    </w:p>
    <w:p w:rsidR="00CC6733" w:rsidRDefault="00CC6733" w:rsidP="0095140D">
      <w:pPr>
        <w:spacing w:before="160" w:after="160" w:line="256" w:lineRule="auto"/>
        <w:jc w:val="center"/>
        <w:rPr>
          <w:rFonts w:ascii="David" w:eastAsia="Calibri" w:hAnsi="David"/>
          <w:b/>
          <w:bCs/>
          <w:u w:val="single"/>
          <w:rtl/>
        </w:rPr>
      </w:pPr>
    </w:p>
    <w:p w:rsidR="00987F99" w:rsidRPr="00987F99" w:rsidRDefault="00987F99" w:rsidP="0095140D">
      <w:pPr>
        <w:spacing w:before="160" w:after="160" w:line="256" w:lineRule="auto"/>
        <w:jc w:val="center"/>
        <w:rPr>
          <w:rFonts w:ascii="David" w:eastAsia="Calibri" w:hAnsi="David"/>
          <w:b/>
          <w:bCs/>
          <w:u w:val="single"/>
          <w:rtl/>
        </w:rPr>
      </w:pPr>
      <w:r w:rsidRPr="00987F99">
        <w:rPr>
          <w:rFonts w:ascii="David" w:eastAsia="Calibri" w:hAnsi="David"/>
          <w:b/>
          <w:bCs/>
          <w:u w:val="single"/>
          <w:rtl/>
        </w:rPr>
        <w:t>עיקרי הכרעת הדין במסגרת תיק ניסיון הרצח (תפ"ח 51088-01-15):</w:t>
      </w:r>
    </w:p>
    <w:p w:rsidR="00987F99" w:rsidRPr="00987F99" w:rsidRDefault="00987F99" w:rsidP="00CC6733">
      <w:pPr>
        <w:spacing w:before="160" w:after="160" w:line="360" w:lineRule="auto"/>
        <w:jc w:val="both"/>
        <w:rPr>
          <w:rFonts w:ascii="David" w:eastAsia="Calibri" w:hAnsi="David"/>
          <w:rtl/>
        </w:rPr>
      </w:pPr>
      <w:r w:rsidRPr="00987F99">
        <w:rPr>
          <w:rFonts w:ascii="David" w:eastAsia="Calibri" w:hAnsi="David"/>
          <w:rtl/>
        </w:rPr>
        <w:t>בית המשפט קבע במסגרת הכרעת הדין כי הוא רוחש אמון לעדות הראיה לילך דוד ורווית בן ברוך, עובדות המועצה, שנכחו במקום והבחינו במעשיו של הנאשם: "</w:t>
      </w:r>
      <w:r w:rsidRPr="00987F99">
        <w:rPr>
          <w:rFonts w:ascii="David" w:eastAsia="Calibri" w:hAnsi="David"/>
          <w:b/>
          <w:bCs/>
          <w:rtl/>
        </w:rPr>
        <w:t xml:space="preserve">עדויותיהן של לילך ורווית עומדות, כל אחת על רגליה והן תומכות זו בזו הדדי לגבי נסיבות הירי </w:t>
      </w:r>
      <w:r w:rsidR="00CC6733">
        <w:rPr>
          <w:rFonts w:ascii="David" w:eastAsia="Calibri" w:hAnsi="David" w:hint="cs"/>
          <w:b/>
          <w:bCs/>
          <w:rtl/>
        </w:rPr>
        <w:t>ב</w:t>
      </w:r>
      <w:r w:rsidR="00CC6733" w:rsidRPr="00CC6733">
        <w:rPr>
          <w:rFonts w:ascii="David" w:eastAsia="Calibri" w:hAnsi="David" w:hint="cs"/>
          <w:rtl/>
        </w:rPr>
        <w:t>[ת.מ]</w:t>
      </w:r>
      <w:r w:rsidRPr="00987F99">
        <w:rPr>
          <w:rFonts w:ascii="David" w:eastAsia="Calibri" w:hAnsi="David"/>
          <w:b/>
          <w:bCs/>
          <w:rtl/>
        </w:rPr>
        <w:t xml:space="preserve">; עדויות אלה מהוות ראיה רבת עוצמה לכך שהנאשם כיוון את אקדחו, ממרחק קצר, לעבר ראשו של </w:t>
      </w:r>
      <w:r w:rsidR="00CC6733" w:rsidRPr="00CC6733">
        <w:rPr>
          <w:rFonts w:ascii="David" w:eastAsia="Calibri" w:hAnsi="David"/>
          <w:rtl/>
        </w:rPr>
        <w:t>[ת.מ]</w:t>
      </w:r>
      <w:r w:rsidRPr="00987F99">
        <w:rPr>
          <w:rFonts w:ascii="David" w:eastAsia="Calibri" w:hAnsi="David"/>
          <w:b/>
          <w:bCs/>
          <w:rtl/>
        </w:rPr>
        <w:t xml:space="preserve"> וביצע ירי של כדור אחד, כאשר מיד לאחריו התמוטט </w:t>
      </w:r>
      <w:r w:rsidR="00CC6733" w:rsidRPr="00CC6733">
        <w:rPr>
          <w:rFonts w:ascii="David" w:eastAsia="Calibri" w:hAnsi="David"/>
          <w:rtl/>
        </w:rPr>
        <w:t>[ת.מ]</w:t>
      </w:r>
      <w:r w:rsidRPr="00CC6733">
        <w:rPr>
          <w:rFonts w:ascii="David" w:eastAsia="Calibri" w:hAnsi="David"/>
          <w:rtl/>
        </w:rPr>
        <w:t>,</w:t>
      </w:r>
      <w:r w:rsidRPr="00987F99">
        <w:rPr>
          <w:rFonts w:ascii="David" w:eastAsia="Calibri" w:hAnsi="David"/>
          <w:b/>
          <w:bCs/>
          <w:rtl/>
        </w:rPr>
        <w:t xml:space="preserve"> ונפל על הרצפה, פצוע אנושות, במקום בו נורה</w:t>
      </w:r>
      <w:r w:rsidRPr="00987F99">
        <w:rPr>
          <w:rFonts w:ascii="David" w:eastAsia="Calibri" w:hAnsi="David"/>
          <w:rtl/>
        </w:rPr>
        <w:t>" (עמ' 70 להכרעת הדין).</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מנגד, בית המשפט דחה את גרסת הנאשם בציינו: "</w:t>
      </w:r>
      <w:r w:rsidRPr="00987F99">
        <w:rPr>
          <w:rFonts w:ascii="David" w:eastAsia="Calibri" w:hAnsi="David"/>
          <w:b/>
          <w:bCs/>
          <w:rtl/>
        </w:rPr>
        <w:t>עדותו של הנאשם הותירה רושם עגום מאוד, כמי שהרחיק עצמו בעקביות מאמירת אמת בכל שלבי החקירה ובמהלך עדותו</w:t>
      </w:r>
      <w:r w:rsidRPr="00987F99">
        <w:rPr>
          <w:rFonts w:ascii="David" w:eastAsia="Calibri" w:hAnsi="David"/>
          <w:rtl/>
        </w:rPr>
        <w:t>" (שם, עמ' 70). כך, בהתייחס לטענת הנאשם לפיה הירי בוצע מפתח חדר הגזבר ולא ממקום אחר, נקבע כי: "</w:t>
      </w:r>
      <w:r w:rsidRPr="00987F99">
        <w:rPr>
          <w:rFonts w:ascii="David" w:eastAsia="Calibri" w:hAnsi="David"/>
          <w:b/>
          <w:bCs/>
          <w:rtl/>
        </w:rPr>
        <w:t>טענתו זו של הנאשם התנפצה למעשה, נוכח דברי הסיכום של ההגנה כי הנאשם אכן ירה על ספו של חדר הנהלת החשבונות באופן שהיה גלוי לעיניהן של עדות הראיה ומוסתר מעיניהם של אלשאמי ואבו גויעד, כפי שאכן נמסר בעדויות עדים אלו</w:t>
      </w:r>
      <w:r w:rsidRPr="00987F99">
        <w:rPr>
          <w:rFonts w:ascii="David" w:eastAsia="Calibri" w:hAnsi="David"/>
          <w:rtl/>
        </w:rPr>
        <w:t>" (שם, עמ' 71).</w:t>
      </w:r>
    </w:p>
    <w:p w:rsidR="00987F99" w:rsidRPr="00987F99" w:rsidRDefault="00987F99" w:rsidP="0095140D">
      <w:pPr>
        <w:spacing w:before="120" w:after="120" w:line="360" w:lineRule="auto"/>
        <w:jc w:val="both"/>
        <w:rPr>
          <w:rFonts w:ascii="David" w:eastAsia="Calibri" w:hAnsi="David"/>
          <w:rtl/>
        </w:rPr>
      </w:pPr>
      <w:r w:rsidRPr="00987F99">
        <w:rPr>
          <w:rFonts w:ascii="David" w:eastAsia="Calibri" w:hAnsi="David"/>
          <w:rtl/>
        </w:rPr>
        <w:t>בית המשפט דחה את טענת הנאשם לפיה מסר גרסאות מבולבלות במהלך החקירה בשל מצבו הנפשי והבריאותי: "</w:t>
      </w:r>
      <w:r w:rsidRPr="00987F99">
        <w:rPr>
          <w:rFonts w:ascii="David" w:eastAsia="Calibri" w:hAnsi="David"/>
          <w:b/>
          <w:bCs/>
          <w:rtl/>
        </w:rPr>
        <w:t xml:space="preserve">הטענה כי הנאשם התבלבל בחקירתו לעניין המקום אליו כיוון אקדחו, אינה יכולה להתקבל. אי הבהירות העולה מבליל הגרסאות הסותרות שמסר הנאשם בעניין זה, אין בה כדי להפיג את ההתרשמות כי הנאשם ביקש במכוון לערפל את הנסיבות ו'להרחיק' עצמו מביצוע ירי מתוכנן לעבר </w:t>
      </w:r>
      <w:r w:rsidR="00CC6733" w:rsidRPr="00CC6733">
        <w:rPr>
          <w:rFonts w:ascii="David" w:eastAsia="Calibri" w:hAnsi="David"/>
          <w:rtl/>
        </w:rPr>
        <w:t>[ת.מ]</w:t>
      </w:r>
      <w:r w:rsidRPr="00987F99">
        <w:rPr>
          <w:rFonts w:ascii="David" w:eastAsia="Calibri" w:hAnsi="David"/>
          <w:b/>
          <w:bCs/>
          <w:rtl/>
        </w:rPr>
        <w:t xml:space="preserve">... טענתו החוזרת של הנאשם בחקירה, בדבר ביצוע הירי מפתח חדר הגזבר, כאשר החדר האמצעי מפריד בין שני החדרים, ובעת שדמותו של </w:t>
      </w:r>
      <w:r w:rsidR="00CC6733" w:rsidRPr="00CC6733">
        <w:rPr>
          <w:rFonts w:ascii="David" w:eastAsia="Calibri" w:hAnsi="David"/>
          <w:rtl/>
        </w:rPr>
        <w:t>[ת.מ]</w:t>
      </w:r>
      <w:r w:rsidRPr="00CC6733">
        <w:rPr>
          <w:rFonts w:ascii="David" w:eastAsia="Calibri" w:hAnsi="David"/>
          <w:rtl/>
        </w:rPr>
        <w:t xml:space="preserve"> </w:t>
      </w:r>
      <w:r w:rsidRPr="00987F99">
        <w:rPr>
          <w:rFonts w:ascii="David" w:eastAsia="Calibri" w:hAnsi="David"/>
          <w:b/>
          <w:bCs/>
          <w:rtl/>
        </w:rPr>
        <w:t>נבלעה כבר בחדר הנהלת החשבונות, 'אפשרה' לנאשם לעלות שלל גרסאות בדבר המקום 'המשוער' אליו כיוון את האקדח ובדבר פגיעה 'עקיפה' ולא מתוכננת ב</w:t>
      </w:r>
      <w:r w:rsidR="00CC6733">
        <w:rPr>
          <w:rFonts w:ascii="David" w:eastAsia="Calibri" w:hAnsi="David"/>
          <w:b/>
          <w:bCs/>
          <w:rtl/>
        </w:rPr>
        <w:t>[ת.מ]</w:t>
      </w:r>
      <w:r w:rsidRPr="00987F99">
        <w:rPr>
          <w:rFonts w:ascii="David" w:eastAsia="Calibri" w:hAnsi="David"/>
          <w:rtl/>
        </w:rPr>
        <w:t xml:space="preserve">" (שם, עמ' </w:t>
      </w:r>
      <w:r w:rsidR="0095140D">
        <w:rPr>
          <w:rFonts w:ascii="David" w:eastAsia="Calibri" w:hAnsi="David" w:hint="cs"/>
          <w:rtl/>
        </w:rPr>
        <w:t>72-71</w:t>
      </w:r>
      <w:r w:rsidRPr="00987F99">
        <w:rPr>
          <w:rFonts w:ascii="David" w:eastAsia="Calibri" w:hAnsi="David"/>
          <w:rtl/>
        </w:rPr>
        <w:t xml:space="preserve">). </w:t>
      </w:r>
    </w:p>
    <w:p w:rsidR="00987F99" w:rsidRPr="00987F99" w:rsidRDefault="00987F99" w:rsidP="0095140D">
      <w:pPr>
        <w:spacing w:before="120" w:after="120" w:line="360" w:lineRule="auto"/>
        <w:jc w:val="both"/>
        <w:rPr>
          <w:rFonts w:ascii="David" w:eastAsia="Calibri" w:hAnsi="David"/>
          <w:rtl/>
        </w:rPr>
      </w:pPr>
      <w:r w:rsidRPr="00987F99">
        <w:rPr>
          <w:rFonts w:ascii="David" w:eastAsia="Calibri" w:hAnsi="David"/>
          <w:rtl/>
        </w:rPr>
        <w:t>בית המשפט מצא את גרסתו של הנאשם בנוגע לנסיבות הקשורות לנשיאת האקדח כבלתי מהימנה. טענת הנאשם לפיה הוציא את האקדח מתוך תיק שהיה בתא המטען בעת שתדלק את הרכב מספר שעות לפני הירי נמצאה "חסרת שחר". בהקשר לכך, צוין על ידי בית המשפט כי: "</w:t>
      </w:r>
      <w:r w:rsidRPr="00987F99">
        <w:rPr>
          <w:rFonts w:ascii="David" w:eastAsia="Calibri" w:hAnsi="David"/>
          <w:b/>
          <w:bCs/>
          <w:rtl/>
        </w:rPr>
        <w:t>מובן כי לשאלת עיתוי הוצאת האקדח ונשיאתו על ידי הנאשם, קיימת חשיבות ברורה, שכן אם נשא הנאשם את האקדח על גופו לפני אירועי העיקול, הרי ש'הופעת' האקדח בשלב מוקדם זה, בתחנת הדלק לא רמזה עדיין על מה שעתיד יהיה להתחולל מספר שעות</w:t>
      </w:r>
      <w:r w:rsidRPr="00987F99">
        <w:rPr>
          <w:rFonts w:ascii="David" w:eastAsia="Calibri" w:hAnsi="David"/>
          <w:rtl/>
        </w:rPr>
        <w:t xml:space="preserve">" (שם, עמ' </w:t>
      </w:r>
      <w:r w:rsidR="0095140D">
        <w:rPr>
          <w:rFonts w:ascii="David" w:eastAsia="Calibri" w:hAnsi="David" w:hint="cs"/>
          <w:rtl/>
        </w:rPr>
        <w:t>73-72</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הטענה לפיה נהג לשאת עליו את האקדח בכל העת נשללה, בין היתר, תוך הסתמכות על הודעות בניו של הנאשם שהוגשו בהסכמה ולפיהן הנאשם כלל אינו נוהג לשאת עליו את הנשק. בדומה, בית המשפט מצא את גרסת הנאשם בנוגע לעיתוי דריכת הנשק כשקרית. אף שכך ובסופם של דברים, ראה בית </w:t>
      </w:r>
      <w:r w:rsidRPr="00987F99">
        <w:rPr>
          <w:rFonts w:ascii="David" w:eastAsia="Calibri" w:hAnsi="David"/>
          <w:rtl/>
        </w:rPr>
        <w:lastRenderedPageBreak/>
        <w:t>המשפט לציין כי: "</w:t>
      </w:r>
      <w:r w:rsidRPr="00987F99">
        <w:rPr>
          <w:rFonts w:ascii="David" w:eastAsia="Calibri" w:hAnsi="David"/>
          <w:b/>
          <w:bCs/>
          <w:rtl/>
        </w:rPr>
        <w:t>...חרף שקריו של הנאשם, אין לשלול אפשרות כי הנאשם דרך נשקו בשלב בו נע בחדר האמצעי לעבר חדר הנהלת החשבונות, כשהוא מוסתר מעיני העדים, וכי ייתכן – ולו מחמת הספק – כי העדים בחדר הנהלת החשבונות ובחדר הגזבר, שעסקו בענייניהם ולא צפו מטבע הדברים, את העומד להתרחש, ולא קלטו אותה עת את קול דריכת הנשק</w:t>
      </w:r>
      <w:r w:rsidRPr="00987F99">
        <w:rPr>
          <w:rFonts w:ascii="David" w:eastAsia="Calibri" w:hAnsi="David"/>
          <w:rtl/>
        </w:rPr>
        <w:t>" (שם, עמ' 73).</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בית המשפט דחה את טענת ההגנה ולפיה הקליע שנורה מאקדחו של הנאשם פגע קודם לכן בקיר, ומשם ניתז לעבר ראשו של הנפגע וקבע כי הקליע נורה ישירות לעבר ראשו של הנפגע, זאת בין היתר, תוך הסתמכות על עדויותיהם של לילך, רווית, ד"ר חן קוגל ורפ"ק אביגדורי (ר' עמ' 77-74 להכרעת הדין).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בסיכום ממצאי העובדה נקבע על ידי בית המשפט: </w:t>
      </w:r>
    </w:p>
    <w:p w:rsidR="00987F99" w:rsidRPr="00987F99" w:rsidRDefault="00987F99" w:rsidP="00987F99">
      <w:pPr>
        <w:spacing w:before="120" w:after="120"/>
        <w:ind w:left="509" w:right="426"/>
        <w:jc w:val="both"/>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הנאשם שניצב על מפתן דלת החדר האמצעי, או סמוך מאד אליו בתוך חדר הנהלת החשבונות, כיוון את אקדחו לעבר ראשו של </w:t>
      </w:r>
      <w:r w:rsidR="00CC6733" w:rsidRPr="00CC6733">
        <w:rPr>
          <w:rFonts w:ascii="David" w:eastAsia="Calibri" w:hAnsi="David"/>
          <w:rtl/>
        </w:rPr>
        <w:t>[ת.מ]</w:t>
      </w:r>
      <w:r w:rsidRPr="00CC6733">
        <w:rPr>
          <w:rFonts w:ascii="David" w:eastAsia="Calibri" w:hAnsi="David"/>
          <w:rtl/>
        </w:rPr>
        <w:t xml:space="preserve">, </w:t>
      </w:r>
      <w:r w:rsidRPr="00987F99">
        <w:rPr>
          <w:rFonts w:ascii="David" w:eastAsia="Calibri" w:hAnsi="David"/>
          <w:b/>
          <w:bCs/>
          <w:rtl/>
        </w:rPr>
        <w:t>ממרחק של מטר או שניים, וירה לעברו כדור אחד, שפגע בראשו והביא להתמוטטותו המידית בעקבות הפציעה האנושה שהסב לו הקליע, שחלף מצדו האחד של הראש לצדו השני. דחינו את גרסת הנאשם, שטען כי ביצע את הירי ממפתן דלת חדר הגזבר, כי כיוון את האקדח באופן ערטילאי לעבר קיר כלשהו או כי לא ראה את הפצוע מיד לאחר נפילתו לקרקע. עוד קבענו, כי ניתן לסמוך על עדותה של רוית בדבר האמירה שהטיח הנאשם ב</w:t>
      </w:r>
      <w:r w:rsidR="00CC6733" w:rsidRPr="00CC6733">
        <w:rPr>
          <w:rFonts w:ascii="David" w:eastAsia="Calibri" w:hAnsi="David"/>
          <w:rtl/>
        </w:rPr>
        <w:t>[ת.מ]</w:t>
      </w:r>
      <w:r w:rsidRPr="00987F99">
        <w:rPr>
          <w:rFonts w:ascii="David" w:eastAsia="Calibri" w:hAnsi="David"/>
          <w:b/>
          <w:bCs/>
          <w:rtl/>
        </w:rPr>
        <w:t xml:space="preserve"> - "מי אתה שתגיד לי מה לשלם", או בדומה לכך -  בשניות לפני ביצוע הירי. בנוסף, דחינו את התזה שהועלתה על ידי פרופ' היס, המומחה מטעם ההגנה, כי הירי כוון לעבר הקיר המערבי, וכי הקליע פגע לראשונה בקיר זה, ורק לאחר מכן הותז ממנו ופגע בראשו של הנפגע</w:t>
      </w:r>
      <w:r w:rsidRPr="00987F99">
        <w:rPr>
          <w:rFonts w:ascii="David" w:eastAsia="Calibri" w:hAnsi="David"/>
          <w:rtl/>
        </w:rPr>
        <w:t>" (עמ' 80).</w:t>
      </w:r>
      <w:r w:rsidRPr="00987F99">
        <w:rPr>
          <w:rFonts w:ascii="David" w:eastAsia="Calibri" w:hAnsi="David"/>
          <w:b/>
          <w:bCs/>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באשר ליסוד הנפשי, בית המשפט עמד על כך כי בהתאם לחוק והפסיקה יש להוכיח את קיומו של היסוד הנפשי הנדרש לעבירה המוגמרת אותה ניסה לבצע הנאשם, היינו עבירת רצח כאמור ב</w:t>
      </w:r>
      <w:r w:rsidRPr="00987F99">
        <w:rPr>
          <w:rFonts w:ascii="David" w:eastAsia="Calibri" w:hAnsi="David"/>
          <w:b/>
          <w:bCs/>
          <w:rtl/>
        </w:rPr>
        <w:t>סעיפים 300(א)(2) לחוק</w:t>
      </w:r>
      <w:r w:rsidRPr="00987F99">
        <w:rPr>
          <w:rFonts w:ascii="David" w:eastAsia="Calibri" w:hAnsi="David"/>
          <w:rtl/>
        </w:rPr>
        <w:t xml:space="preserve"> יחד עם הוראת </w:t>
      </w:r>
      <w:r w:rsidRPr="00987F99">
        <w:rPr>
          <w:rFonts w:ascii="David" w:eastAsia="Calibri" w:hAnsi="David"/>
          <w:b/>
          <w:bCs/>
          <w:rtl/>
        </w:rPr>
        <w:t>סעיף 301(א)</w:t>
      </w:r>
      <w:r w:rsidRPr="00987F99">
        <w:rPr>
          <w:rFonts w:ascii="David" w:eastAsia="Calibri" w:hAnsi="David"/>
          <w:rtl/>
        </w:rPr>
        <w:t xml:space="preserve"> כפי ניסוחם טרם תיקון 137 לחוק. בהתאם לכך, יש להוכיח שלושה תנאים מצטברים: "החלטה להמית", "הכנה" ו"העדר קנטור". באשר לרכיב </w:t>
      </w:r>
      <w:r w:rsidRPr="00987F99">
        <w:rPr>
          <w:rFonts w:ascii="David" w:eastAsia="Calibri" w:hAnsi="David"/>
          <w:u w:val="single"/>
          <w:rtl/>
        </w:rPr>
        <w:t>ההחלטה להמית</w:t>
      </w:r>
      <w:r w:rsidRPr="00987F99">
        <w:rPr>
          <w:rFonts w:ascii="David" w:eastAsia="Calibri" w:hAnsi="David"/>
          <w:rtl/>
        </w:rPr>
        <w:t xml:space="preserve"> נקבע כי: "</w:t>
      </w:r>
      <w:r w:rsidRPr="00987F99">
        <w:rPr>
          <w:rFonts w:ascii="David" w:eastAsia="Calibri" w:hAnsi="David"/>
          <w:b/>
          <w:bCs/>
          <w:rtl/>
        </w:rPr>
        <w:t xml:space="preserve">אנו מוכנים לצאת מתוך הנחה כי ההחלטה לבצע ירי גמלה בליבו של הנאשם רק בעקבות הוויכוח שהתקיים במשרד הגזבר ותגובתו של </w:t>
      </w:r>
      <w:r w:rsidR="00CC6733" w:rsidRPr="00CC6733">
        <w:rPr>
          <w:rFonts w:ascii="David" w:eastAsia="Calibri" w:hAnsi="David"/>
          <w:rtl/>
        </w:rPr>
        <w:t>[ת.מ]</w:t>
      </w:r>
      <w:r w:rsidRPr="00987F99">
        <w:rPr>
          <w:rFonts w:ascii="David" w:eastAsia="Calibri" w:hAnsi="David"/>
          <w:rtl/>
        </w:rPr>
        <w:t xml:space="preserve">". בנוגע לרכיב </w:t>
      </w:r>
      <w:r w:rsidRPr="00987F99">
        <w:rPr>
          <w:rFonts w:ascii="David" w:eastAsia="Calibri" w:hAnsi="David"/>
          <w:u w:val="single"/>
          <w:rtl/>
        </w:rPr>
        <w:t>ההכנה</w:t>
      </w:r>
      <w:r w:rsidRPr="00987F99">
        <w:rPr>
          <w:rFonts w:ascii="David" w:eastAsia="Calibri" w:hAnsi="David"/>
          <w:rtl/>
        </w:rPr>
        <w:t xml:space="preserve"> נקבע: "</w:t>
      </w:r>
      <w:r w:rsidRPr="00987F99">
        <w:rPr>
          <w:rFonts w:ascii="David" w:eastAsia="Calibri" w:hAnsi="David"/>
          <w:b/>
          <w:bCs/>
          <w:rtl/>
        </w:rPr>
        <w:t>...אדם השולף את נשקו, דורכו – הנאשם לא חלק כי ביצע פעולות אלה – מכוונו לאחר, ולוחץ על ההדק לצורך ביצוע ירייה, מבצע את מלוא הפעולות המכינות לצורך השלמת הפגיעה...</w:t>
      </w:r>
      <w:r w:rsidRPr="00987F99">
        <w:rPr>
          <w:rFonts w:ascii="David" w:eastAsia="Calibri" w:hAnsi="David"/>
          <w:rtl/>
        </w:rPr>
        <w:t>". עוד נקבע כי: "</w:t>
      </w:r>
      <w:r w:rsidRPr="00987F99">
        <w:rPr>
          <w:rFonts w:ascii="David" w:eastAsia="Calibri" w:hAnsi="David"/>
          <w:b/>
          <w:bCs/>
          <w:rtl/>
        </w:rPr>
        <w:t xml:space="preserve">נוכח הקביעה העובדתית, המתבססת על ראיות ישירות, כי הנאשם כיוון נשקו וירה לעבר </w:t>
      </w:r>
      <w:r w:rsidR="00CC6733" w:rsidRPr="00CC6733">
        <w:rPr>
          <w:rFonts w:ascii="David" w:eastAsia="Calibri" w:hAnsi="David"/>
          <w:rtl/>
        </w:rPr>
        <w:t>[ת.מ]</w:t>
      </w:r>
      <w:r w:rsidRPr="00987F99">
        <w:rPr>
          <w:rFonts w:ascii="David" w:eastAsia="Calibri" w:hAnsi="David"/>
          <w:b/>
          <w:bCs/>
          <w:rtl/>
        </w:rPr>
        <w:t xml:space="preserve">, הרי שחזקת הכוונה מלמדת כי הנאשם התכוון לרצוח את </w:t>
      </w:r>
      <w:r w:rsidR="00CC6733">
        <w:rPr>
          <w:rFonts w:ascii="David" w:eastAsia="Calibri" w:hAnsi="David"/>
          <w:b/>
          <w:bCs/>
          <w:rtl/>
        </w:rPr>
        <w:t>[ת.מ]</w:t>
      </w:r>
      <w:r w:rsidRPr="00987F99">
        <w:rPr>
          <w:rFonts w:ascii="David" w:eastAsia="Calibri" w:hAnsi="David"/>
          <w:b/>
          <w:bCs/>
          <w:rtl/>
        </w:rPr>
        <w:t xml:space="preserve"> בירי לעברו... וחזקה עליו שאם ביצע ירי בנסיבות אלה הרי שצפה את התוצאה הקטלנית שעלול הירי להסב, ואף רצה במימוש התוצאה הקטלנית...</w:t>
      </w:r>
      <w:r w:rsidRPr="00987F99">
        <w:rPr>
          <w:rFonts w:ascii="David" w:eastAsia="Calibri" w:hAnsi="David"/>
          <w:rtl/>
        </w:rPr>
        <w:t xml:space="preserve">" (עמ' 81).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באשר לרכיב "העדר הקנטור", זה יפורט באריכות בהמשכה של הכרעת הדין. בשלב זה רק נציין כי בית המשפט קבע כי גם אם לצורך הדיון תתקבל ההנחה לפיה הנאשם הושפע סובייקטיבית מאירועי אותו יום, הרי שמבחינה אובייקטיבית אין לקבל כי "אדם סביר" עשוי היה לנסות ולקפח חייו של אחר בשל רוגזו על הליכי עיקול לא מוצדקים לתפיסתו. </w:t>
      </w:r>
    </w:p>
    <w:p w:rsidR="00987F99" w:rsidRPr="00987F99" w:rsidRDefault="00987F99" w:rsidP="00987F99">
      <w:pPr>
        <w:spacing w:before="120" w:after="120" w:line="360" w:lineRule="auto"/>
        <w:jc w:val="center"/>
        <w:rPr>
          <w:rFonts w:ascii="David" w:eastAsia="Calibri" w:hAnsi="David"/>
          <w:b/>
          <w:bCs/>
          <w:u w:val="single"/>
          <w:rtl/>
        </w:rPr>
      </w:pPr>
      <w:r w:rsidRPr="00987F99">
        <w:rPr>
          <w:rFonts w:ascii="David" w:eastAsia="Calibri" w:hAnsi="David"/>
          <w:b/>
          <w:bCs/>
          <w:u w:val="single"/>
          <w:rtl/>
        </w:rPr>
        <w:lastRenderedPageBreak/>
        <w:t>ראיות הצדדים בתיק שלפנינו:</w:t>
      </w:r>
    </w:p>
    <w:p w:rsidR="00987F99" w:rsidRPr="00987F99" w:rsidRDefault="00987F99" w:rsidP="00CC6733">
      <w:pPr>
        <w:spacing w:before="120" w:after="120" w:line="360" w:lineRule="auto"/>
        <w:jc w:val="both"/>
        <w:rPr>
          <w:rFonts w:ascii="David" w:eastAsia="Calibri" w:hAnsi="David"/>
          <w:rtl/>
        </w:rPr>
      </w:pPr>
      <w:r w:rsidRPr="00987F99">
        <w:rPr>
          <w:rFonts w:ascii="David" w:eastAsia="Calibri" w:hAnsi="David"/>
          <w:rtl/>
        </w:rPr>
        <w:t>מתוך שהכרעת הדין בתיק ניסיון הרצח היא חלוטה, המאשימה ביקשה להתבסס על קביעותיו העובדתיות והמשפטיות של בית המשפט. בהקשר לשאלת הקשר הסיבתי עובדתי, המאשימה העידה את המומחה מטעמה, פרופ' נמרוד מימון וכן את אשת המנוח, הגב' י</w:t>
      </w:r>
      <w:r w:rsidR="00CC6733">
        <w:rPr>
          <w:rFonts w:ascii="David" w:eastAsia="Calibri" w:hAnsi="David" w:hint="cs"/>
          <w:rtl/>
        </w:rPr>
        <w:t>.מ</w:t>
      </w:r>
      <w:r w:rsidRPr="00987F99">
        <w:rPr>
          <w:rFonts w:ascii="David" w:eastAsia="Calibri" w:hAnsi="David"/>
          <w:rtl/>
        </w:rPr>
        <w:t xml:space="preserve">. מטעם ההגנה לא נשמעו עדים. המוצגים שהוגשו במסגרת תיק ניסיון הרצח שימשו כמוצגים גם במסגרת תיקנו. בנוסף, הוגשו בהסכמה מסמכים רפואיים מאשפוזים קודמים של המנוח וכן מהאשפוז האחרון במהלכו נפטר (ת/21-ת/29, נ/1).  </w:t>
      </w:r>
    </w:p>
    <w:p w:rsidR="00987F99" w:rsidRPr="00987F99" w:rsidRDefault="00987F99" w:rsidP="00987F99">
      <w:pPr>
        <w:spacing w:after="160" w:line="256" w:lineRule="auto"/>
        <w:rPr>
          <w:rFonts w:ascii="David" w:eastAsia="Calibri" w:hAnsi="David"/>
          <w:b/>
          <w:bCs/>
          <w:u w:val="single"/>
          <w:rtl/>
        </w:rPr>
      </w:pPr>
      <w:r w:rsidRPr="00987F99">
        <w:rPr>
          <w:rFonts w:ascii="David" w:eastAsia="Calibri" w:hAnsi="David"/>
          <w:b/>
          <w:bCs/>
          <w:u w:val="single"/>
          <w:rtl/>
        </w:rPr>
        <w:t>חוות הדעת של פרופ' נמרוד מימון- ת/4 (ביחס לקשר הסיבתי העובדתי):</w:t>
      </w:r>
    </w:p>
    <w:p w:rsidR="00987F99" w:rsidRPr="00987F99" w:rsidRDefault="00987F99" w:rsidP="0095140D">
      <w:pPr>
        <w:spacing w:before="120" w:after="120" w:line="360" w:lineRule="auto"/>
        <w:jc w:val="both"/>
        <w:rPr>
          <w:rFonts w:ascii="David" w:eastAsia="Calibri" w:hAnsi="David"/>
          <w:rtl/>
        </w:rPr>
      </w:pPr>
      <w:r w:rsidRPr="00987F99">
        <w:rPr>
          <w:rFonts w:ascii="David" w:eastAsia="Calibri" w:hAnsi="David"/>
          <w:rtl/>
        </w:rPr>
        <w:t xml:space="preserve">חוות דעתו הכתובה של פרופ' מימון הוגשה חלף עדות ראשית וסומנה ת/4. בהתייחסו לפציעתו של </w:t>
      </w:r>
      <w:r w:rsidR="00CC6733">
        <w:rPr>
          <w:rFonts w:ascii="David" w:eastAsia="Calibri" w:hAnsi="David"/>
          <w:rtl/>
        </w:rPr>
        <w:t>ת.מ</w:t>
      </w:r>
      <w:r w:rsidRPr="00987F99">
        <w:rPr>
          <w:rFonts w:ascii="David" w:eastAsia="Calibri" w:hAnsi="David"/>
          <w:rtl/>
        </w:rPr>
        <w:t xml:space="preserve"> כתוצאה מהירי בראשו מפורט:</w:t>
      </w:r>
    </w:p>
    <w:p w:rsidR="00987F99" w:rsidRPr="00987F99" w:rsidRDefault="00987F99" w:rsidP="0095140D">
      <w:pPr>
        <w:spacing w:before="120" w:after="120"/>
        <w:jc w:val="both"/>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בן 44, נ+3, מטופל סיעודי לאחר פצע ירי, מתגורר בבית עם אשתו וילדיו, עם מטפל 24 שעות, נמצא במועדון ליד הבית בשעות היום. מצב לאחר קרניאקטומיה ב-1/2015 לאחר פצע ירי מוחי ועיוורון בעקבות כך. במצבו הבסיסי אינו מדבר אך מגיב לקול ומבצע פקודות פשוטות לסירוגין. היה ב-29/09/2016 במהלך של ניסיון שיקום בבית החולים השיקומי – לווינשטיין ברעננה. מאז שחרורו – ובארבע השנים האחרונות נמצא במעקב מרפאת שיקום, כלכלה מקבל דרך </w:t>
      </w:r>
      <w:r w:rsidRPr="00987F99">
        <w:rPr>
          <w:rFonts w:ascii="David" w:eastAsia="Calibri" w:hAnsi="David"/>
          <w:b/>
          <w:bCs/>
          <w:sz w:val="20"/>
          <w:szCs w:val="20"/>
        </w:rPr>
        <w:t>PEG</w:t>
      </w:r>
      <w:r w:rsidRPr="00987F99">
        <w:rPr>
          <w:rFonts w:ascii="David" w:eastAsia="Calibri" w:hAnsi="David"/>
          <w:b/>
          <w:bCs/>
          <w:rtl/>
        </w:rPr>
        <w:t>. מטופל באופן קבוע ב-</w:t>
      </w:r>
      <w:r w:rsidRPr="00987F99">
        <w:rPr>
          <w:rFonts w:ascii="David" w:eastAsia="Calibri" w:hAnsi="David"/>
          <w:b/>
          <w:bCs/>
          <w:sz w:val="20"/>
          <w:szCs w:val="20"/>
        </w:rPr>
        <w:t>TEGRETOL</w:t>
      </w:r>
      <w:r w:rsidRPr="00987F99">
        <w:rPr>
          <w:rFonts w:ascii="David" w:eastAsia="Calibri" w:hAnsi="David"/>
          <w:b/>
          <w:bCs/>
          <w:rtl/>
        </w:rPr>
        <w:t xml:space="preserve"> עקב התקפים אפילפטיים</w:t>
      </w:r>
      <w:r w:rsidRPr="00987F99">
        <w:rPr>
          <w:rFonts w:ascii="David" w:eastAsia="Calibri" w:hAnsi="David"/>
          <w:rtl/>
        </w:rPr>
        <w:t>".</w:t>
      </w:r>
      <w:r w:rsidRPr="00987F99">
        <w:rPr>
          <w:rFonts w:ascii="David" w:eastAsia="Calibri" w:hAnsi="David"/>
          <w:b/>
          <w:bCs/>
          <w:rtl/>
        </w:rPr>
        <w:t xml:space="preserve">  </w:t>
      </w:r>
    </w:p>
    <w:p w:rsidR="00987F99" w:rsidRPr="00987F99" w:rsidRDefault="00987F99" w:rsidP="0095140D">
      <w:pPr>
        <w:spacing w:before="120" w:after="120"/>
        <w:jc w:val="both"/>
        <w:rPr>
          <w:rFonts w:ascii="David" w:eastAsia="Calibri" w:hAnsi="David"/>
          <w:rtl/>
        </w:rPr>
      </w:pPr>
      <w:r w:rsidRPr="00987F99">
        <w:rPr>
          <w:rFonts w:ascii="David" w:eastAsia="Calibri" w:hAnsi="David"/>
          <w:rtl/>
        </w:rPr>
        <w:t>בפרק "מהלך האשפוז הנוכחי" מפורט:</w:t>
      </w:r>
    </w:p>
    <w:p w:rsidR="00987F99" w:rsidRPr="00987F99" w:rsidRDefault="00987F99" w:rsidP="0095140D">
      <w:pPr>
        <w:spacing w:before="120" w:after="120"/>
        <w:jc w:val="both"/>
        <w:rPr>
          <w:rFonts w:ascii="David" w:eastAsia="Calibri" w:hAnsi="David"/>
          <w:rtl/>
        </w:rPr>
      </w:pPr>
      <w:r w:rsidRPr="00987F99">
        <w:rPr>
          <w:rFonts w:ascii="David" w:eastAsia="Calibri" w:hAnsi="David"/>
          <w:rtl/>
        </w:rPr>
        <w:t xml:space="preserve"> "</w:t>
      </w:r>
      <w:r w:rsidRPr="00987F99">
        <w:rPr>
          <w:rFonts w:ascii="David" w:eastAsia="Calibri" w:hAnsi="David"/>
          <w:b/>
          <w:bCs/>
          <w:rtl/>
        </w:rPr>
        <w:t xml:space="preserve">בהעדר יכולת לתקשר עם המטופל – גם בשל מצבו הבסיסי וגם בשל ההחמרה הנוכחית – האנמנזה נלקחה מפי המטפלת ואשתו: התקבל ב-14/02/2020 למחלקתי לאחר ירידה במצבו הכללי. תואר שמיום פנייתו הופיעו חרחורים גסים ונמדד בבית חום גוף נמוך של 32.6, לאחר חימום נרשמה עלייה בחום הגוף ל-34, תוארה גם דה-סטורציה של 84%. אשתו מציינת כי במיון הייתה אספירציה (שאיפת תוכן הפה לתוך דרכי האוויר) ונמצאה כמות גדולה של נוזל האכלה מסוג </w:t>
      </w:r>
      <w:r w:rsidRPr="00987F99">
        <w:rPr>
          <w:rFonts w:ascii="David" w:eastAsia="Calibri" w:hAnsi="David"/>
          <w:b/>
          <w:bCs/>
          <w:sz w:val="20"/>
          <w:szCs w:val="20"/>
        </w:rPr>
        <w:t>JEVITY</w:t>
      </w:r>
      <w:r w:rsidRPr="00987F99">
        <w:rPr>
          <w:rFonts w:ascii="David" w:eastAsia="Calibri" w:hAnsi="David"/>
          <w:b/>
          <w:bCs/>
          <w:sz w:val="20"/>
          <w:szCs w:val="20"/>
          <w:rtl/>
        </w:rPr>
        <w:t xml:space="preserve"> </w:t>
      </w:r>
      <w:r w:rsidRPr="00987F99">
        <w:rPr>
          <w:rFonts w:ascii="David" w:eastAsia="Calibri" w:hAnsi="David"/>
          <w:b/>
          <w:bCs/>
          <w:rtl/>
        </w:rPr>
        <w:t>בחלל הפה ועל הבגדים. לציין, לפני כשבוע סיים קורס של אוגמנטין וחודש קודם לכן קורס נוסף אנטיביוטי בשל אירועים זיהומיים נשימתיים. עוד לציין כי לפני כשבוע אירוע של פרכוס משני לאי נטילת טרגטול בגלל מחסור של התרופה בבית המרקחת</w:t>
      </w:r>
      <w:r w:rsidRPr="00987F99">
        <w:rPr>
          <w:rFonts w:ascii="David" w:eastAsia="Calibri" w:hAnsi="David"/>
          <w:rtl/>
        </w:rPr>
        <w:t xml:space="preserve">". </w:t>
      </w:r>
    </w:p>
    <w:p w:rsidR="00987F99" w:rsidRPr="00987F99" w:rsidRDefault="00987F99" w:rsidP="0095140D">
      <w:pPr>
        <w:spacing w:before="120" w:after="120" w:line="360" w:lineRule="auto"/>
        <w:contextualSpacing/>
        <w:jc w:val="both"/>
        <w:rPr>
          <w:rFonts w:ascii="David" w:eastAsia="Calibri" w:hAnsi="David"/>
          <w:rtl/>
        </w:rPr>
      </w:pPr>
      <w:r w:rsidRPr="00987F99">
        <w:rPr>
          <w:rFonts w:ascii="David" w:eastAsia="Calibri" w:hAnsi="David"/>
          <w:rtl/>
        </w:rPr>
        <w:t xml:space="preserve">בפרק "אשפוזי העבר" מפורט: </w:t>
      </w:r>
    </w:p>
    <w:p w:rsidR="00987F99" w:rsidRPr="00987F99" w:rsidRDefault="00987F99" w:rsidP="0095140D">
      <w:pPr>
        <w:spacing w:before="120" w:after="120"/>
        <w:contextualSpacing/>
        <w:jc w:val="both"/>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אשפוז ממנו שוחרר ב-02/2017 – אז התייצג עם נתרן 115 ופרכוס... הטיפול במינרין הופסק והנתרן השתפר – 126 סוכם על ידי ד"ר האוזמן כי ההיפונרתמיה כנראה נגרמה עקב עליה ברמות מינרין או עקב גורם אחר כדוגמת הפרכוס. הטיפול במינרין חודש בשחרור. האירוע הפרכוסי היה חד פעמי, גורם אפשרי – רמת טרגטול שהייתה מעט נמוכה... מקור אפשרי נוסף היפונרתמיה הוא תהליך זיהומי – במהלך האשפוז היו דה-סטורציות, ליחה, ליקופניה... בצילום חזה – הצללה באונה שמאלית, ככל הנראה משני לאספירציה טופל בפלג'יל וציפרוקסין. </w:t>
      </w:r>
    </w:p>
    <w:p w:rsidR="00987F99" w:rsidRPr="00987F99" w:rsidRDefault="00987F99" w:rsidP="0095140D">
      <w:pPr>
        <w:spacing w:before="120" w:after="120"/>
        <w:jc w:val="both"/>
        <w:rPr>
          <w:rFonts w:ascii="David" w:eastAsia="Calibri" w:hAnsi="David"/>
          <w:b/>
          <w:bCs/>
          <w:rtl/>
        </w:rPr>
      </w:pPr>
      <w:r w:rsidRPr="00987F99">
        <w:rPr>
          <w:rFonts w:ascii="David" w:eastAsia="Calibri" w:hAnsi="David"/>
          <w:b/>
          <w:bCs/>
          <w:rtl/>
        </w:rPr>
        <w:t xml:space="preserve">אשפוז ב-01/2017 –  התקבל להשגחה לאחר החלפת פג שהסתבכה, במהלך השאיפה נקרעה פטריית הפג הבלויה. לאור חשש לאספירציה של הפטרייה... בוצעה הרדמה כללית... בוצעה לבסוף שליפה של הפטרייה מחלל הקיבה. בסיום הפעולה החולה עבר אקסטובציה מוצלחת. </w:t>
      </w:r>
    </w:p>
    <w:p w:rsidR="00987F99" w:rsidRPr="00987F99" w:rsidRDefault="00987F99" w:rsidP="0095140D">
      <w:pPr>
        <w:spacing w:before="120" w:after="120"/>
        <w:jc w:val="both"/>
        <w:rPr>
          <w:rFonts w:ascii="David" w:eastAsia="Calibri" w:hAnsi="David"/>
          <w:b/>
          <w:bCs/>
          <w:rtl/>
        </w:rPr>
      </w:pPr>
      <w:r w:rsidRPr="00987F99">
        <w:rPr>
          <w:rFonts w:ascii="David" w:eastAsia="Calibri" w:hAnsi="David"/>
          <w:b/>
          <w:bCs/>
          <w:rtl/>
        </w:rPr>
        <w:t xml:space="preserve">אשפוז ב-12/2016 – הגיע עם מחלת חום היפונתרמיה, הופעת פרכוסים והקאות עם תוכן </w:t>
      </w:r>
      <w:r w:rsidRPr="00987F99">
        <w:rPr>
          <w:rFonts w:ascii="David" w:eastAsia="Calibri" w:hAnsi="David"/>
          <w:b/>
          <w:bCs/>
          <w:sz w:val="20"/>
          <w:szCs w:val="20"/>
        </w:rPr>
        <w:t>COFFEE GROUND</w:t>
      </w:r>
      <w:r w:rsidRPr="00987F99">
        <w:rPr>
          <w:rFonts w:ascii="David" w:eastAsia="Calibri" w:hAnsi="David"/>
          <w:b/>
          <w:bCs/>
          <w:rtl/>
        </w:rPr>
        <w:t>. בוצע סי טי מוח שהיה ללא שינוי יחסית לסי טי קודם...</w:t>
      </w:r>
    </w:p>
    <w:p w:rsidR="00987F99" w:rsidRPr="00987F99" w:rsidRDefault="00987F99" w:rsidP="0095140D">
      <w:pPr>
        <w:spacing w:before="120" w:after="120"/>
        <w:jc w:val="both"/>
        <w:rPr>
          <w:rFonts w:ascii="David" w:eastAsia="Calibri" w:hAnsi="David"/>
          <w:rtl/>
        </w:rPr>
      </w:pPr>
      <w:r w:rsidRPr="00987F99">
        <w:rPr>
          <w:rFonts w:ascii="David" w:eastAsia="Calibri" w:hAnsi="David"/>
          <w:b/>
          <w:bCs/>
          <w:rtl/>
        </w:rPr>
        <w:t>המהלך הרפואי החל בשישי לינואר 2015 כשהובא לבית החולים לאחר פצע ירי בראש. באותה פגיעת ראש עבר מספר התערבויות ניתוחיות...</w:t>
      </w:r>
      <w:r w:rsidRPr="00987F99">
        <w:rPr>
          <w:rFonts w:ascii="David" w:eastAsia="Calibri" w:hAnsi="David"/>
          <w:rtl/>
        </w:rPr>
        <w:t xml:space="preserve">". </w:t>
      </w:r>
    </w:p>
    <w:p w:rsidR="00987F99" w:rsidRPr="00987F99" w:rsidRDefault="00987F99" w:rsidP="0095140D">
      <w:pPr>
        <w:spacing w:before="120" w:after="120"/>
        <w:jc w:val="both"/>
        <w:rPr>
          <w:rFonts w:ascii="David" w:eastAsia="Calibri" w:hAnsi="David"/>
          <w:rtl/>
        </w:rPr>
      </w:pPr>
      <w:r w:rsidRPr="00987F99">
        <w:rPr>
          <w:rFonts w:ascii="David" w:eastAsia="Calibri" w:hAnsi="David"/>
          <w:rtl/>
        </w:rPr>
        <w:lastRenderedPageBreak/>
        <w:t>בפרק הסיכום מפורט:</w:t>
      </w:r>
    </w:p>
    <w:p w:rsidR="00987F99" w:rsidRPr="00987F99" w:rsidRDefault="00987F99" w:rsidP="00CC6733">
      <w:pPr>
        <w:spacing w:before="120" w:after="120"/>
        <w:jc w:val="both"/>
        <w:rPr>
          <w:rFonts w:ascii="David" w:eastAsia="Calibri" w:hAnsi="David"/>
          <w:rtl/>
        </w:rPr>
      </w:pPr>
      <w:r w:rsidRPr="00987F99">
        <w:rPr>
          <w:rFonts w:ascii="David" w:eastAsia="Calibri" w:hAnsi="David"/>
          <w:rtl/>
        </w:rPr>
        <w:t>"</w:t>
      </w:r>
      <w:r w:rsidRPr="00987F99">
        <w:rPr>
          <w:rFonts w:ascii="David" w:eastAsia="Calibri" w:hAnsi="David"/>
          <w:b/>
          <w:bCs/>
          <w:rtl/>
        </w:rPr>
        <w:t xml:space="preserve">מר </w:t>
      </w:r>
      <w:r w:rsidR="00CC6733" w:rsidRPr="00CC6733">
        <w:rPr>
          <w:rFonts w:ascii="David" w:eastAsia="Calibri" w:hAnsi="David" w:hint="cs"/>
          <w:rtl/>
        </w:rPr>
        <w:t>[מ']</w:t>
      </w:r>
      <w:r w:rsidRPr="00987F99">
        <w:rPr>
          <w:rFonts w:ascii="David" w:eastAsia="Calibri" w:hAnsi="David"/>
          <w:b/>
          <w:bCs/>
          <w:rtl/>
        </w:rPr>
        <w:t xml:space="preserve"> ללא מחלות רקע קודמות הפך בחמש השנים האחרונות לנכה, מוגבל בתפקודו היומיומי ובעקבות השכיבה הממושכת והנטייה להתקפי אפילפסיה פיתח אירועים חוזרים של זיהומים נשימתיים משניים לאספירציות חוזרות. במהלך האשפוז הנוכחי לאחר שלושה אירועי אספירציה שאחד מהם התרחש ממש לנגד עיני הצוות, פיתח כשל נשימתי, היה צורך לחברו למכונת ההנשמה והועבר במצב ספטי להמשך טיפול במסגרת טיפול נמרץ כללי. שם, חרף מאמצי היחידה לנסות ולעזור לו – כשל ונפטר בתאריך 20.02.2020</w:t>
      </w:r>
      <w:r w:rsidRPr="00987F99">
        <w:rPr>
          <w:rFonts w:ascii="David" w:eastAsia="Calibri" w:hAnsi="David"/>
          <w:rtl/>
        </w:rPr>
        <w:t>".</w:t>
      </w:r>
    </w:p>
    <w:p w:rsidR="00987F99" w:rsidRPr="00987F99" w:rsidRDefault="00987F99" w:rsidP="0095140D">
      <w:pPr>
        <w:spacing w:before="120" w:after="120" w:line="360" w:lineRule="auto"/>
        <w:jc w:val="both"/>
        <w:rPr>
          <w:rFonts w:ascii="David" w:eastAsia="Calibri" w:hAnsi="David"/>
          <w:rtl/>
        </w:rPr>
      </w:pPr>
      <w:r w:rsidRPr="00987F99">
        <w:rPr>
          <w:rFonts w:ascii="David" w:eastAsia="Calibri" w:hAnsi="David"/>
          <w:rtl/>
        </w:rPr>
        <w:t xml:space="preserve">בפרק "הדיון" מפורט: </w:t>
      </w:r>
    </w:p>
    <w:p w:rsidR="00987F99" w:rsidRPr="00987F99" w:rsidRDefault="00987F99" w:rsidP="0095140D">
      <w:pPr>
        <w:spacing w:before="120" w:after="120"/>
        <w:jc w:val="both"/>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לאחר עיון קפדני במסמכים הרפואיים שעמדו לרשותי, התרשמתי ש- </w:t>
      </w:r>
    </w:p>
    <w:p w:rsidR="00987F99" w:rsidRPr="00987F99" w:rsidRDefault="00987F99" w:rsidP="008E5FF0">
      <w:pPr>
        <w:numPr>
          <w:ilvl w:val="0"/>
          <w:numId w:val="8"/>
        </w:numPr>
        <w:spacing w:before="120" w:after="120" w:line="256" w:lineRule="auto"/>
        <w:jc w:val="both"/>
        <w:rPr>
          <w:rFonts w:ascii="David" w:eastAsia="Calibri" w:hAnsi="David"/>
          <w:b/>
          <w:bCs/>
          <w:rtl/>
        </w:rPr>
      </w:pPr>
      <w:r w:rsidRPr="00987F99">
        <w:rPr>
          <w:rFonts w:ascii="David" w:eastAsia="Calibri" w:hAnsi="David"/>
          <w:b/>
          <w:bCs/>
          <w:rtl/>
        </w:rPr>
        <w:t xml:space="preserve">מר </w:t>
      </w:r>
      <w:r w:rsidR="00CC6733" w:rsidRPr="00CC6733">
        <w:rPr>
          <w:rFonts w:ascii="David" w:eastAsia="Calibri" w:hAnsi="David" w:hint="cs"/>
          <w:rtl/>
        </w:rPr>
        <w:t>[</w:t>
      </w:r>
      <w:r w:rsidR="008E5FF0">
        <w:rPr>
          <w:rFonts w:ascii="David" w:eastAsia="Calibri" w:hAnsi="David" w:hint="cs"/>
          <w:rtl/>
        </w:rPr>
        <w:t>מ'</w:t>
      </w:r>
      <w:r w:rsidR="00CC6733" w:rsidRPr="00CC6733">
        <w:rPr>
          <w:rFonts w:ascii="David" w:eastAsia="Calibri" w:hAnsi="David" w:hint="cs"/>
          <w:rtl/>
        </w:rPr>
        <w:t>]</w:t>
      </w:r>
      <w:r w:rsidRPr="00987F99">
        <w:rPr>
          <w:rFonts w:ascii="David" w:eastAsia="Calibri" w:hAnsi="David"/>
          <w:b/>
          <w:bCs/>
          <w:rtl/>
        </w:rPr>
        <w:t xml:space="preserve"> סבל מפגיעה מוחית חמורה שהביאה לקושי בשליטה בדרכי האוויר ובהפרשות מהן.</w:t>
      </w:r>
    </w:p>
    <w:p w:rsidR="00987F99" w:rsidRPr="00987F99" w:rsidRDefault="00987F99" w:rsidP="0095140D">
      <w:pPr>
        <w:numPr>
          <w:ilvl w:val="0"/>
          <w:numId w:val="8"/>
        </w:numPr>
        <w:spacing w:before="120" w:after="120" w:line="256" w:lineRule="auto"/>
        <w:contextualSpacing/>
        <w:jc w:val="both"/>
        <w:rPr>
          <w:rFonts w:ascii="David" w:eastAsia="Calibri" w:hAnsi="David"/>
          <w:b/>
          <w:bCs/>
        </w:rPr>
      </w:pPr>
      <w:r w:rsidRPr="00987F99">
        <w:rPr>
          <w:rFonts w:ascii="David" w:eastAsia="Calibri" w:hAnsi="David"/>
          <w:b/>
          <w:bCs/>
          <w:rtl/>
        </w:rPr>
        <w:t xml:space="preserve">בעקבות בעיה זאת היה חשוף לאורך השנים למספר אירועים זיהומיים של דרכי האוויר והריאות שהביאו אותו להזדקק לאשפוז מספר פעמים. </w:t>
      </w:r>
    </w:p>
    <w:p w:rsidR="00987F99" w:rsidRPr="00987F99" w:rsidRDefault="00987F99" w:rsidP="0095140D">
      <w:pPr>
        <w:numPr>
          <w:ilvl w:val="0"/>
          <w:numId w:val="8"/>
        </w:numPr>
        <w:spacing w:before="120" w:after="120" w:line="256" w:lineRule="auto"/>
        <w:contextualSpacing/>
        <w:jc w:val="both"/>
        <w:rPr>
          <w:rFonts w:ascii="David" w:eastAsia="Calibri" w:hAnsi="David"/>
          <w:b/>
          <w:bCs/>
        </w:rPr>
      </w:pPr>
      <w:r w:rsidRPr="00987F99">
        <w:rPr>
          <w:rFonts w:ascii="David" w:eastAsia="Calibri" w:hAnsi="David"/>
          <w:b/>
          <w:bCs/>
          <w:rtl/>
        </w:rPr>
        <w:t xml:space="preserve">האשפוז האחרון נבע מאירוע דלקת ריאות נוסף שנבע מאספירציה. במהלך האשפוז במחלקתי התרחשו מספר אירועי אספירציה נוספים שהאחרון ביניהם התרחש ב- 16/02/2016 ממש אל מול עיניי – בעת שאיבחנתי את הכשל הנשימתי לא נותרה לי ברירה אלא לחברו למכונת ההנשמה ולהעבירו ליחידה לטיפול נמרץ שם נפטר לאחר מספר ימים. </w:t>
      </w:r>
    </w:p>
    <w:p w:rsidR="00987F99" w:rsidRPr="00987F99" w:rsidRDefault="00987F99" w:rsidP="0095140D">
      <w:pPr>
        <w:spacing w:before="120" w:after="120"/>
        <w:jc w:val="both"/>
        <w:rPr>
          <w:rFonts w:ascii="David" w:eastAsia="Calibri" w:hAnsi="David"/>
          <w:b/>
          <w:bCs/>
        </w:rPr>
      </w:pPr>
      <w:r w:rsidRPr="00987F99">
        <w:rPr>
          <w:rFonts w:ascii="David" w:eastAsia="Calibri" w:hAnsi="David"/>
          <w:b/>
          <w:bCs/>
          <w:rtl/>
        </w:rPr>
        <w:t xml:space="preserve">האבחנה של </w:t>
      </w:r>
      <w:r w:rsidRPr="00987F99">
        <w:rPr>
          <w:rFonts w:ascii="David" w:eastAsia="Calibri" w:hAnsi="David"/>
          <w:b/>
          <w:bCs/>
          <w:sz w:val="20"/>
          <w:szCs w:val="20"/>
        </w:rPr>
        <w:t>ASPIRATION PNEUMONIA</w:t>
      </w:r>
      <w:r w:rsidRPr="00987F99">
        <w:rPr>
          <w:rFonts w:ascii="David" w:eastAsia="Calibri" w:hAnsi="David"/>
          <w:b/>
          <w:bCs/>
          <w:rtl/>
        </w:rPr>
        <w:t xml:space="preserve"> נתמכת בסימפטומים (שיעול פרודוקטיבי, חנק), סימניו החיוניים (ירידה בסטורציה ועליית חום הגוף) בדיקתו הגופית – (חרחורים גסים והאזנה לריאות) המראה הרדיולוגי של צילום החזה והתרשמות ישירה מאירוע אספירציה שהביא לכשל נשימתי וצורך באינטובציה. </w:t>
      </w:r>
    </w:p>
    <w:p w:rsidR="00987F99" w:rsidRPr="00987F99" w:rsidRDefault="00987F99" w:rsidP="00CC6733">
      <w:pPr>
        <w:spacing w:after="160"/>
        <w:jc w:val="both"/>
        <w:rPr>
          <w:rFonts w:ascii="David" w:eastAsia="Calibri" w:hAnsi="David"/>
          <w:b/>
          <w:bCs/>
          <w:rtl/>
        </w:rPr>
      </w:pPr>
      <w:r w:rsidRPr="00987F99">
        <w:rPr>
          <w:rFonts w:ascii="David" w:eastAsia="Calibri" w:hAnsi="David"/>
          <w:b/>
          <w:bCs/>
          <w:rtl/>
        </w:rPr>
        <w:t xml:space="preserve">לסיכום, היות ונדיר מאוד לצפות דלקות ריאה חוזרות ואספירציות באדם צעיר אקבע שבמר </w:t>
      </w:r>
      <w:r w:rsidR="00CC6733" w:rsidRPr="00CC6733">
        <w:rPr>
          <w:rFonts w:ascii="David" w:eastAsia="Calibri" w:hAnsi="David" w:hint="cs"/>
          <w:rtl/>
        </w:rPr>
        <w:t>[מ']</w:t>
      </w:r>
      <w:r w:rsidR="00CC6733" w:rsidRPr="00987F99">
        <w:rPr>
          <w:rFonts w:ascii="David" w:eastAsia="Calibri" w:hAnsi="David"/>
          <w:b/>
          <w:bCs/>
          <w:rtl/>
        </w:rPr>
        <w:t xml:space="preserve"> </w:t>
      </w:r>
      <w:r w:rsidRPr="00987F99">
        <w:rPr>
          <w:rFonts w:ascii="David" w:eastAsia="Calibri" w:hAnsi="David"/>
          <w:b/>
          <w:bCs/>
          <w:rtl/>
        </w:rPr>
        <w:t>התקיימו מספר תנאים שהביאו למותו מכשל נשימתי משני לדלקת ריאות :</w:t>
      </w:r>
    </w:p>
    <w:p w:rsidR="00987F99" w:rsidRPr="00987F99" w:rsidRDefault="00987F99" w:rsidP="00987F99">
      <w:pPr>
        <w:numPr>
          <w:ilvl w:val="0"/>
          <w:numId w:val="9"/>
        </w:numPr>
        <w:spacing w:after="160" w:line="256" w:lineRule="auto"/>
        <w:contextualSpacing/>
        <w:jc w:val="both"/>
        <w:rPr>
          <w:rFonts w:ascii="David" w:eastAsia="Calibri" w:hAnsi="David"/>
          <w:b/>
          <w:bCs/>
          <w:rtl/>
        </w:rPr>
      </w:pPr>
      <w:r w:rsidRPr="00987F99">
        <w:rPr>
          <w:rFonts w:ascii="David" w:eastAsia="Calibri" w:hAnsi="David"/>
          <w:b/>
          <w:bCs/>
          <w:rtl/>
        </w:rPr>
        <w:t xml:space="preserve">הנטייה להתפתחות דלקות ריאה חוזרות משניות לאספירציה היא בעקבות מצבו הנוירולוגי והיותו מרותק למיטה. </w:t>
      </w:r>
    </w:p>
    <w:p w:rsidR="00987F99" w:rsidRPr="00987F99" w:rsidRDefault="00987F99" w:rsidP="00987F99">
      <w:pPr>
        <w:numPr>
          <w:ilvl w:val="0"/>
          <w:numId w:val="9"/>
        </w:numPr>
        <w:spacing w:after="160" w:line="256" w:lineRule="auto"/>
        <w:contextualSpacing/>
        <w:jc w:val="both"/>
        <w:rPr>
          <w:rFonts w:ascii="David" w:eastAsia="Calibri" w:hAnsi="David"/>
          <w:b/>
          <w:bCs/>
        </w:rPr>
      </w:pPr>
      <w:r w:rsidRPr="00987F99">
        <w:rPr>
          <w:rFonts w:ascii="David" w:eastAsia="Calibri" w:hAnsi="David"/>
          <w:b/>
          <w:bCs/>
          <w:rtl/>
        </w:rPr>
        <w:t xml:space="preserve">הריתוק למיטה היה משני לירי בראש מלפני חמש שנים. </w:t>
      </w:r>
    </w:p>
    <w:p w:rsidR="00987F99" w:rsidRPr="00987F99" w:rsidRDefault="00987F99" w:rsidP="0095140D">
      <w:pPr>
        <w:numPr>
          <w:ilvl w:val="0"/>
          <w:numId w:val="9"/>
        </w:numPr>
        <w:spacing w:before="120" w:after="120" w:line="256" w:lineRule="auto"/>
        <w:jc w:val="both"/>
        <w:rPr>
          <w:rFonts w:ascii="David" w:eastAsia="Calibri" w:hAnsi="David"/>
          <w:b/>
          <w:bCs/>
        </w:rPr>
      </w:pPr>
      <w:r w:rsidRPr="00987F99">
        <w:rPr>
          <w:rFonts w:ascii="David" w:eastAsia="Calibri" w:hAnsi="David"/>
          <w:b/>
          <w:bCs/>
          <w:rtl/>
        </w:rPr>
        <w:t>לכן אני קובע שהירייה בראשו מלפני חמש שנים – הביאה בהשתלשלות האירועים למותו בתאריך 20/02/2020</w:t>
      </w:r>
      <w:r w:rsidRPr="00987F99">
        <w:rPr>
          <w:rFonts w:ascii="David" w:eastAsia="Calibri" w:hAnsi="David"/>
          <w:rtl/>
        </w:rPr>
        <w:t>".</w:t>
      </w:r>
    </w:p>
    <w:p w:rsidR="00987F99" w:rsidRPr="00987F99" w:rsidRDefault="00987F99" w:rsidP="00CC6733">
      <w:pPr>
        <w:spacing w:before="120" w:after="120" w:line="360" w:lineRule="auto"/>
        <w:jc w:val="both"/>
        <w:rPr>
          <w:rFonts w:ascii="David" w:eastAsia="Calibri" w:hAnsi="David"/>
          <w:b/>
          <w:bCs/>
          <w:u w:val="single"/>
        </w:rPr>
      </w:pPr>
      <w:r w:rsidRPr="00987F99">
        <w:rPr>
          <w:rFonts w:ascii="David" w:eastAsia="Calibri" w:hAnsi="David"/>
          <w:b/>
          <w:bCs/>
          <w:u w:val="single"/>
          <w:rtl/>
        </w:rPr>
        <w:t>עדות אשת המנוח – י</w:t>
      </w:r>
      <w:r w:rsidR="00CC6733">
        <w:rPr>
          <w:rFonts w:ascii="David" w:eastAsia="Calibri" w:hAnsi="David" w:hint="cs"/>
          <w:b/>
          <w:bCs/>
          <w:u w:val="single"/>
          <w:rtl/>
        </w:rPr>
        <w:t>.מ</w:t>
      </w:r>
      <w:r w:rsidRPr="00987F99">
        <w:rPr>
          <w:rFonts w:ascii="David" w:eastAsia="Calibri" w:hAnsi="David"/>
          <w:b/>
          <w:bCs/>
          <w:u w:val="single"/>
          <w:rtl/>
        </w:rPr>
        <w:t>:</w:t>
      </w:r>
    </w:p>
    <w:p w:rsidR="00987F99" w:rsidRPr="00987F99" w:rsidRDefault="00987F99" w:rsidP="00CC6733">
      <w:pPr>
        <w:spacing w:before="120" w:after="120" w:line="360" w:lineRule="auto"/>
        <w:jc w:val="both"/>
        <w:rPr>
          <w:rFonts w:ascii="David" w:eastAsia="Calibri" w:hAnsi="David"/>
          <w:rtl/>
        </w:rPr>
      </w:pPr>
      <w:r w:rsidRPr="00987F99">
        <w:rPr>
          <w:rFonts w:ascii="David" w:eastAsia="Calibri" w:hAnsi="David"/>
          <w:rtl/>
        </w:rPr>
        <w:t>אשת המנוח, י</w:t>
      </w:r>
      <w:r w:rsidR="00CC6733">
        <w:rPr>
          <w:rFonts w:ascii="David" w:eastAsia="Calibri" w:hAnsi="David" w:hint="cs"/>
          <w:rtl/>
        </w:rPr>
        <w:t>.מ</w:t>
      </w:r>
      <w:r w:rsidRPr="00987F99">
        <w:rPr>
          <w:rFonts w:ascii="David" w:eastAsia="Calibri" w:hAnsi="David"/>
          <w:rtl/>
        </w:rPr>
        <w:t xml:space="preserve">, מסרה הודעה במשטרה ביום 22.4.20 שהוגשה בהסכמה (ת/1). בהודעה זו היא מפרטת את מצבו הבריאותי של </w:t>
      </w:r>
      <w:r w:rsidR="00CC6733">
        <w:rPr>
          <w:rFonts w:ascii="David" w:eastAsia="Calibri" w:hAnsi="David"/>
          <w:rtl/>
        </w:rPr>
        <w:t>ת.מ</w:t>
      </w:r>
      <w:r w:rsidRPr="00987F99">
        <w:rPr>
          <w:rFonts w:ascii="David" w:eastAsia="Calibri" w:hAnsi="David"/>
          <w:rtl/>
        </w:rPr>
        <w:t xml:space="preserve"> לפני הפציעה ולאחריה. לדבריה, טרם הפציעה, המנוח היה אדם בריא לחלוטין. י</w:t>
      </w:r>
      <w:r w:rsidR="00CC6733">
        <w:rPr>
          <w:rFonts w:ascii="David" w:eastAsia="Calibri" w:hAnsi="David" w:hint="cs"/>
          <w:rtl/>
        </w:rPr>
        <w:t>.מ</w:t>
      </w:r>
      <w:r w:rsidRPr="00987F99">
        <w:rPr>
          <w:rFonts w:ascii="David" w:eastAsia="Calibri" w:hAnsi="David"/>
          <w:rtl/>
        </w:rPr>
        <w:t xml:space="preserve"> שללה כי </w:t>
      </w:r>
      <w:r w:rsidR="00CC6733">
        <w:rPr>
          <w:rFonts w:ascii="David" w:eastAsia="Calibri" w:hAnsi="David"/>
          <w:rtl/>
        </w:rPr>
        <w:t>ת.מ</w:t>
      </w:r>
      <w:r w:rsidRPr="00987F99">
        <w:rPr>
          <w:rFonts w:ascii="David" w:eastAsia="Calibri" w:hAnsi="David"/>
          <w:rtl/>
        </w:rPr>
        <w:t xml:space="preserve"> חלה בעבר בדלקת ריאות או סבל מפגיעת ראש: "</w:t>
      </w:r>
      <w:r w:rsidRPr="00987F99">
        <w:rPr>
          <w:rFonts w:ascii="David" w:eastAsia="Calibri" w:hAnsi="David"/>
          <w:b/>
          <w:bCs/>
          <w:rtl/>
        </w:rPr>
        <w:t xml:space="preserve">לפני הפציעה היה אדם בריא לחלוטין, אף </w:t>
      </w:r>
      <w:r w:rsidRPr="00987F99">
        <w:rPr>
          <w:rFonts w:ascii="David" w:eastAsia="Calibri" w:hAnsi="David"/>
          <w:rtl/>
        </w:rPr>
        <w:t xml:space="preserve">(פעם) </w:t>
      </w:r>
      <w:r w:rsidRPr="00987F99">
        <w:rPr>
          <w:rFonts w:ascii="David" w:eastAsia="Calibri" w:hAnsi="David"/>
          <w:b/>
          <w:bCs/>
          <w:rtl/>
        </w:rPr>
        <w:t>לא ביקר במרפאה, לעולם, אולי פעם אחת הייתה לו דלקת גרון, אפשר לבדוק זאת אני רוצה לציין שהוא היה ספורטאי פעיל ואדם חזק מאוד</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לדבריה בעקבות הפציעה </w:t>
      </w:r>
      <w:r w:rsidR="00CC6733">
        <w:rPr>
          <w:rFonts w:ascii="David" w:eastAsia="Calibri" w:hAnsi="David"/>
          <w:rtl/>
        </w:rPr>
        <w:t>ת.מ</w:t>
      </w:r>
      <w:r w:rsidRPr="00987F99">
        <w:rPr>
          <w:rFonts w:ascii="David" w:eastAsia="Calibri" w:hAnsi="David"/>
          <w:rtl/>
        </w:rPr>
        <w:t xml:space="preserve"> "</w:t>
      </w:r>
      <w:r w:rsidRPr="00987F99">
        <w:rPr>
          <w:rFonts w:ascii="David" w:eastAsia="Calibri" w:hAnsi="David"/>
          <w:b/>
          <w:bCs/>
          <w:rtl/>
        </w:rPr>
        <w:t xml:space="preserve">היה סיעודי מורכב, כפועל ישיר של הפציעה הקשה </w:t>
      </w:r>
      <w:r w:rsidR="00CC6733" w:rsidRPr="008E5FF0">
        <w:rPr>
          <w:rFonts w:ascii="David" w:eastAsia="Calibri" w:hAnsi="David"/>
          <w:rtl/>
        </w:rPr>
        <w:t>[ת.מ]</w:t>
      </w:r>
      <w:r w:rsidRPr="00987F99">
        <w:rPr>
          <w:rFonts w:ascii="David" w:eastAsia="Calibri" w:hAnsi="David"/>
          <w:b/>
          <w:bCs/>
          <w:rtl/>
        </w:rPr>
        <w:t xml:space="preserve"> נותר ללא עיניים, ללא יכולת לדבר, משותק בצד שמאל ולמעשה סיעודי באופן מלא מוחלט למעט הכרה שהייתה במרבית הזמן זמנית ותלויה במצבו הרפואי, מאז פציעתו </w:t>
      </w:r>
      <w:r w:rsidR="00CC6733" w:rsidRPr="008E5FF0">
        <w:rPr>
          <w:rFonts w:ascii="David" w:eastAsia="Calibri" w:hAnsi="David"/>
          <w:rtl/>
        </w:rPr>
        <w:t>[ת.מ]</w:t>
      </w:r>
      <w:r w:rsidRPr="00987F99">
        <w:rPr>
          <w:rFonts w:ascii="David" w:eastAsia="Calibri" w:hAnsi="David"/>
          <w:b/>
          <w:bCs/>
          <w:rtl/>
        </w:rPr>
        <w:t xml:space="preserve"> שהה במספר בתי חולים ובתום כשנתיים הגיע הביתה וטופל על ידי עובד זר באופן מלא</w:t>
      </w:r>
      <w:r w:rsidRPr="00987F99">
        <w:rPr>
          <w:rFonts w:ascii="David" w:eastAsia="Calibri" w:hAnsi="David"/>
          <w:rtl/>
        </w:rPr>
        <w:t xml:space="preserve">". </w:t>
      </w:r>
      <w:r w:rsidR="00CC6733">
        <w:rPr>
          <w:rFonts w:ascii="David" w:eastAsia="Calibri" w:hAnsi="David"/>
          <w:rtl/>
        </w:rPr>
        <w:t>ת.מ</w:t>
      </w:r>
      <w:r w:rsidRPr="00987F99">
        <w:rPr>
          <w:rFonts w:ascii="David" w:eastAsia="Calibri" w:hAnsi="David"/>
          <w:rtl/>
        </w:rPr>
        <w:t xml:space="preserve"> נפטר כתוצאה מדלקת ריאות </w:t>
      </w:r>
      <w:r w:rsidRPr="00987F99">
        <w:rPr>
          <w:rFonts w:ascii="David" w:eastAsia="Calibri" w:hAnsi="David"/>
          <w:rtl/>
        </w:rPr>
        <w:lastRenderedPageBreak/>
        <w:t>ואספירציות: "</w:t>
      </w:r>
      <w:r w:rsidRPr="00987F99">
        <w:rPr>
          <w:rFonts w:ascii="David" w:eastAsia="Calibri" w:hAnsi="David"/>
          <w:b/>
          <w:bCs/>
          <w:rtl/>
        </w:rPr>
        <w:t>עצם היותו פגוע ראש מעמיד אותו בפני האופציה לחלות בדלקת ריאות יותר מבן אדם רגיל יש מחקרים רבים על הדברים האלו</w:t>
      </w:r>
      <w:r w:rsidRPr="00987F99">
        <w:rPr>
          <w:rFonts w:ascii="David" w:eastAsia="Calibri" w:hAnsi="David"/>
          <w:rtl/>
        </w:rPr>
        <w:t xml:space="preserve">". </w:t>
      </w:r>
    </w:p>
    <w:p w:rsidR="00987F99" w:rsidRPr="00987F99" w:rsidRDefault="00CC6733" w:rsidP="00987F99">
      <w:pPr>
        <w:spacing w:before="120" w:after="120" w:line="360" w:lineRule="auto"/>
        <w:jc w:val="both"/>
        <w:rPr>
          <w:rFonts w:ascii="David" w:eastAsia="Calibri" w:hAnsi="David"/>
          <w:rtl/>
        </w:rPr>
      </w:pPr>
      <w:r>
        <w:rPr>
          <w:rFonts w:ascii="David" w:eastAsia="Calibri" w:hAnsi="David"/>
          <w:rtl/>
        </w:rPr>
        <w:t>ת.מ</w:t>
      </w:r>
      <w:r w:rsidR="00987F99" w:rsidRPr="00987F99">
        <w:rPr>
          <w:rFonts w:ascii="David" w:eastAsia="Calibri" w:hAnsi="David"/>
          <w:rtl/>
        </w:rPr>
        <w:t xml:space="preserve"> פונה במהלך שהייתו בבית מספר פעמים לטיפול בדלקות ריאות חוזרות ונשנות ולא סבל מפגיעת ראש חוזרת או מאוחרת לזו שנגרמה לו כתוצאה מהירייה: "</w:t>
      </w:r>
      <w:r w:rsidR="00987F99" w:rsidRPr="00987F99">
        <w:rPr>
          <w:rFonts w:ascii="David" w:eastAsia="Calibri" w:hAnsi="David"/>
          <w:b/>
          <w:bCs/>
          <w:rtl/>
        </w:rPr>
        <w:t>...שמרנו עליו כמו על יהלום, במשך שנתיים הוא לא אושפז פעם אחת בסורוקה, בשנתיים האחרונות בשנת 2018 טיפלתי בו בבית, תמיד מנעתי את האשפוז בטיפול נכון בבית</w:t>
      </w:r>
      <w:r w:rsidR="00987F99" w:rsidRPr="00987F99">
        <w:rPr>
          <w:rFonts w:ascii="David" w:eastAsia="Calibri" w:hAnsi="David"/>
          <w:rtl/>
        </w:rPr>
        <w:t xml:space="preserve">". </w:t>
      </w:r>
    </w:p>
    <w:p w:rsidR="00987F99" w:rsidRPr="00987F99" w:rsidRDefault="00987F99" w:rsidP="00CC6733">
      <w:pPr>
        <w:spacing w:before="120" w:after="120" w:line="360" w:lineRule="auto"/>
        <w:jc w:val="both"/>
        <w:rPr>
          <w:rFonts w:ascii="David" w:eastAsia="Calibri" w:hAnsi="David"/>
          <w:rtl/>
        </w:rPr>
      </w:pPr>
      <w:r w:rsidRPr="00987F99">
        <w:rPr>
          <w:rFonts w:ascii="David" w:eastAsia="Calibri" w:hAnsi="David"/>
          <w:rtl/>
        </w:rPr>
        <w:t>במכתב אותו צירפה להודעתה במשטרה שהוגש אף הוא בהסכמה (סומן א.א1). י</w:t>
      </w:r>
      <w:r w:rsidR="00CC6733">
        <w:rPr>
          <w:rFonts w:ascii="David" w:eastAsia="Calibri" w:hAnsi="David" w:hint="cs"/>
          <w:rtl/>
        </w:rPr>
        <w:t xml:space="preserve">.מ </w:t>
      </w:r>
      <w:r w:rsidRPr="00987F99">
        <w:rPr>
          <w:rFonts w:ascii="David" w:eastAsia="Calibri" w:hAnsi="David"/>
          <w:rtl/>
        </w:rPr>
        <w:t xml:space="preserve"> חוזרת על הדברים אותם פירטה בהודעתה ומציינת, בין היתר, כי בשל העובדה ש</w:t>
      </w:r>
      <w:r w:rsidR="00CC6733">
        <w:rPr>
          <w:rFonts w:ascii="David" w:eastAsia="Calibri" w:hAnsi="David"/>
          <w:rtl/>
        </w:rPr>
        <w:t>ת.מ</w:t>
      </w:r>
      <w:r w:rsidRPr="00987F99">
        <w:rPr>
          <w:rFonts w:ascii="David" w:eastAsia="Calibri" w:hAnsi="David"/>
          <w:rtl/>
        </w:rPr>
        <w:t xml:space="preserve"> היה סיעודי, הוא חלה פעמים רבות בדלקת ריאות: "</w:t>
      </w:r>
      <w:r w:rsidRPr="00987F99">
        <w:rPr>
          <w:rFonts w:ascii="David" w:eastAsia="Calibri" w:hAnsi="David"/>
          <w:b/>
          <w:bCs/>
          <w:rtl/>
        </w:rPr>
        <w:t xml:space="preserve">מצבו הרפואי כתוצאה מהפציעה הלך והתדרדר המחלות הקבועות שתקפו אותו, החמירו את מצבו עד שגופו לא יכל להתמודד יותר </w:t>
      </w:r>
      <w:r w:rsidR="00CC6733" w:rsidRPr="00CC6733">
        <w:rPr>
          <w:rFonts w:ascii="David" w:eastAsia="Calibri" w:hAnsi="David"/>
          <w:rtl/>
        </w:rPr>
        <w:t>[ת.מ]</w:t>
      </w:r>
      <w:r w:rsidRPr="00987F99">
        <w:rPr>
          <w:rFonts w:ascii="David" w:eastAsia="Calibri" w:hAnsi="David"/>
          <w:b/>
          <w:bCs/>
          <w:rtl/>
        </w:rPr>
        <w:t xml:space="preserve"> נפטר</w:t>
      </w:r>
      <w:r w:rsidRPr="00987F99">
        <w:rPr>
          <w:rFonts w:ascii="David" w:eastAsia="Calibri" w:hAnsi="David"/>
          <w:rtl/>
        </w:rPr>
        <w:t xml:space="preserve">". </w:t>
      </w:r>
    </w:p>
    <w:p w:rsidR="00987F99" w:rsidRPr="00987F99" w:rsidRDefault="00987F99" w:rsidP="00987F99">
      <w:pPr>
        <w:spacing w:after="160" w:line="256" w:lineRule="auto"/>
        <w:jc w:val="center"/>
        <w:rPr>
          <w:rFonts w:ascii="David" w:eastAsia="Calibri" w:hAnsi="David"/>
          <w:b/>
          <w:bCs/>
          <w:u w:val="single"/>
          <w:rtl/>
        </w:rPr>
      </w:pPr>
      <w:r w:rsidRPr="00987F99">
        <w:rPr>
          <w:rFonts w:ascii="David" w:eastAsia="Calibri" w:hAnsi="David"/>
          <w:b/>
          <w:bCs/>
          <w:u w:val="single"/>
          <w:rtl/>
        </w:rPr>
        <w:t>עיקר</w:t>
      </w:r>
      <w:r w:rsidR="00CC6733">
        <w:rPr>
          <w:rFonts w:ascii="David" w:eastAsia="Calibri" w:hAnsi="David" w:hint="cs"/>
          <w:b/>
          <w:bCs/>
          <w:u w:val="single"/>
          <w:rtl/>
        </w:rPr>
        <w:t>י</w:t>
      </w:r>
      <w:r w:rsidRPr="00987F99">
        <w:rPr>
          <w:rFonts w:ascii="David" w:eastAsia="Calibri" w:hAnsi="David"/>
          <w:b/>
          <w:bCs/>
          <w:u w:val="single"/>
          <w:rtl/>
        </w:rPr>
        <w:t xml:space="preserve"> טיעוני הצדדים:</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u w:val="single"/>
          <w:rtl/>
        </w:rPr>
        <w:t>ב"כ המאשימה</w:t>
      </w:r>
      <w:r w:rsidRPr="00987F99">
        <w:rPr>
          <w:rFonts w:ascii="David" w:eastAsia="Calibri" w:hAnsi="David"/>
          <w:rtl/>
        </w:rPr>
        <w:t xml:space="preserve"> עתרה לבית המשפט במסגרת סיכומיה לראות בנאשם כמי שרצח את </w:t>
      </w:r>
      <w:r w:rsidR="00CC6733">
        <w:rPr>
          <w:rFonts w:ascii="David" w:eastAsia="Calibri" w:hAnsi="David"/>
          <w:rtl/>
        </w:rPr>
        <w:t>ת.מ</w:t>
      </w:r>
      <w:r w:rsidRPr="00987F99">
        <w:rPr>
          <w:rFonts w:ascii="David" w:eastAsia="Calibri" w:hAnsi="David"/>
          <w:rtl/>
        </w:rPr>
        <w:t xml:space="preserve"> ביום 06.01.15 בעוד תוצאות מעשיו התרחשו כמספר שנים מאוחר יותר. לדבריה, במהלך חמש השנים שעברו מאז הירי, </w:t>
      </w:r>
      <w:r w:rsidR="00CC6733">
        <w:rPr>
          <w:rFonts w:ascii="David" w:eastAsia="Calibri" w:hAnsi="David"/>
          <w:rtl/>
        </w:rPr>
        <w:t>ת.מ</w:t>
      </w:r>
      <w:r w:rsidRPr="00987F99">
        <w:rPr>
          <w:rFonts w:ascii="David" w:eastAsia="Calibri" w:hAnsi="David"/>
          <w:rtl/>
        </w:rPr>
        <w:t xml:space="preserve"> היה בבחינת "חי-מת מהלך" כאשר הישארותו בחיים היא בבחינת נס רפואי שנמשך בעקבות טיפול רפואי וסיעודי מסור אותו קיבל. הובהר כי על פי החוק בנוסחו הנוכחי (לאחר תיקון 137), מדובר ברצח בסיסי "בקטגוריה של בכוונה" לפי </w:t>
      </w:r>
      <w:r w:rsidRPr="00987F99">
        <w:rPr>
          <w:rFonts w:ascii="David" w:eastAsia="Calibri" w:hAnsi="David"/>
          <w:b/>
          <w:bCs/>
          <w:rtl/>
        </w:rPr>
        <w:t>סעיף 300(א) רישא</w:t>
      </w:r>
      <w:r w:rsidRPr="00987F99">
        <w:rPr>
          <w:rFonts w:ascii="David" w:eastAsia="Calibri" w:hAnsi="David"/>
          <w:rtl/>
        </w:rPr>
        <w:t xml:space="preserve"> </w:t>
      </w:r>
      <w:r w:rsidRPr="00987F99">
        <w:rPr>
          <w:rFonts w:ascii="David" w:eastAsia="Calibri" w:hAnsi="David"/>
          <w:b/>
          <w:bCs/>
          <w:rtl/>
        </w:rPr>
        <w:t>לחוק</w:t>
      </w:r>
      <w:r w:rsidRPr="00987F99">
        <w:rPr>
          <w:rFonts w:ascii="David" w:eastAsia="Calibri" w:hAnsi="David"/>
          <w:rtl/>
        </w:rPr>
        <w:t xml:space="preserve">, היינו רצח שעונשו עד מאסר עולם.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באשר לשאלת </w:t>
      </w:r>
      <w:r w:rsidRPr="00987F99">
        <w:rPr>
          <w:rFonts w:ascii="David" w:eastAsia="Calibri" w:hAnsi="David"/>
          <w:u w:val="single"/>
          <w:rtl/>
        </w:rPr>
        <w:t>הקשר הסיבתי העובדתי</w:t>
      </w:r>
      <w:r w:rsidRPr="00987F99">
        <w:rPr>
          <w:rFonts w:ascii="David" w:eastAsia="Calibri" w:hAnsi="David"/>
          <w:rtl/>
        </w:rPr>
        <w:t xml:space="preserve">, המאשימה נסמכת על חוות הדעת של המומחה מטעמה, פרופ' נמרוד מימון. נטען כי אף שאין המדובר ברופא פתולוג, יש בחוות דעתו של פרופ' נמרוד משום "ערך מוסף משמעותי" שכן, מדובר במי שהיה הרופא המטפל של </w:t>
      </w:r>
      <w:r w:rsidR="00CC6733">
        <w:rPr>
          <w:rFonts w:ascii="David" w:eastAsia="Calibri" w:hAnsi="David"/>
          <w:rtl/>
        </w:rPr>
        <w:t>ת.מ</w:t>
      </w:r>
      <w:r w:rsidRPr="00987F99">
        <w:rPr>
          <w:rFonts w:ascii="David" w:eastAsia="Calibri" w:hAnsi="David"/>
          <w:rtl/>
        </w:rPr>
        <w:t xml:space="preserve">, מנהל המחלקה, שהכיר אותו לאורך זמן והיה מודע לבעיות הרפואיות מהן סבל. נטען כי פרופ' מימון היה חד משמעי בקביעותיו, הסביר לפרטי פרטים את המנגנון שגרם לאשפוזיו הקודמים של </w:t>
      </w:r>
      <w:r w:rsidR="00CC6733">
        <w:rPr>
          <w:rFonts w:ascii="David" w:eastAsia="Calibri" w:hAnsi="David"/>
          <w:rtl/>
        </w:rPr>
        <w:t>ת.מ</w:t>
      </w:r>
      <w:r w:rsidRPr="00987F99">
        <w:rPr>
          <w:rFonts w:ascii="David" w:eastAsia="Calibri" w:hAnsi="David"/>
          <w:rtl/>
        </w:rPr>
        <w:t xml:space="preserve"> ובסופם של דברים, גם הביא למותו. לטענת המאשימה, קביעת הקשר הסיבתי העובדתי אינה מורכבת, בפרט כאשר אין טענה של "גורם מתערב זר" בדמות הימנעות מטיפול נדרש או קבלת טיפול רפואי שאינו ראוי.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אליבא  דמאשימה, המסמכים הרפואיים שהוגשו בעניינו של </w:t>
      </w:r>
      <w:r w:rsidR="00CC6733">
        <w:rPr>
          <w:rFonts w:ascii="David" w:eastAsia="Calibri" w:hAnsi="David"/>
          <w:rtl/>
        </w:rPr>
        <w:t>ת.מ</w:t>
      </w:r>
      <w:r w:rsidRPr="00987F99">
        <w:rPr>
          <w:rFonts w:ascii="David" w:eastAsia="Calibri" w:hAnsi="David"/>
          <w:rtl/>
        </w:rPr>
        <w:t xml:space="preserve"> מעידים כי מרבית אשפוזיו הקודמים נעשו בשל בעיות נשימה, הקאות, פרכוסים וחרחורים. כך גם באשפוזו האחרון. כל אלה הנם תוצר ישיר של הפגיעה בראשו. אף שלא נערכה נתיחה לאחר המוות, ניתן לקבוע את סיבתו על בסיס מסמכים רפואיים והפסיקה גם הכירה בכך. לחיזוק טענה זו, הפנתה המאשימה להתייחסותו של מנהל המכון לרפואה משפטית, ד"ר חן קוגל (ת/3), שבה הוא כותב במפורש כי מבחינתו ישנה קביעה בנוגע לסיבת המוות ומשכך אין צורך בעריכתה של חוות דעת נוספת מטעמו (נוכח התשומות הרבות שהדבר ידרוש).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lastRenderedPageBreak/>
        <w:t xml:space="preserve">באשר </w:t>
      </w:r>
      <w:r w:rsidRPr="00987F99">
        <w:rPr>
          <w:rFonts w:ascii="David" w:eastAsia="Calibri" w:hAnsi="David"/>
          <w:u w:val="single"/>
          <w:rtl/>
        </w:rPr>
        <w:t>לטענת הקנטור,</w:t>
      </w:r>
      <w:r w:rsidRPr="00987F99">
        <w:rPr>
          <w:rFonts w:ascii="David" w:eastAsia="Calibri" w:hAnsi="David"/>
          <w:rtl/>
        </w:rPr>
        <w:t xml:space="preserve"> נטען כי מלכתחילה ספק האם היה מקום, גם במסגרת תיק ניסיון הרצח, להידרש לרכיב זה שכן הנאשם כפר בכך שכיוון וירה לעבר המנוח בכוונה לפגוע בו או לגרום למותו. טענתו של הנאשם, אז כהיום, היא, כי ירה ירייה אחת "לצורך הרתעה" ללא כוונת פגיעה או גרימת מוות.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נטען כי הדין החדש לאחר תיקון 137 הנוגע לטענת הקנטור "הוא דין מעט שונה אבל הוא לא דין מקל". למעלה מן הצורך, גם אם נבחן את התנהלותו של הנאשם לפי הנוסח החדש, הוא  אינו נכנס לגדרו של הקנטור.</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u w:val="single"/>
          <w:rtl/>
        </w:rPr>
        <w:t>באת כוח הנאשם</w:t>
      </w:r>
      <w:r w:rsidRPr="00987F99">
        <w:rPr>
          <w:rFonts w:ascii="David" w:eastAsia="Calibri" w:hAnsi="David"/>
          <w:rtl/>
        </w:rPr>
        <w:t xml:space="preserve"> מנגד, טענה בסיכומיה בע"פ (ובהשלמה בכתב) כי ככל שהדבר נוגע להוכחת הקשר הסיבתי העובדתי, היא אינה טוענת לרשלנות בטיפול הרפואי או קיומו של "גורם זר" שהביא לניתוקו. אף שכך, אין באמור לפטור את המדינה מהחובה הרובצת לפתחה, להוכיח קשר סיבתי בין המעשה לתוצאה - חובה שבה לא עמדה.</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כך ובתמצית, נטען כי חלפה תקופה ממושכת של חמש שנים מקרות האירוע ועד מותו של המנוח מבלי שנערכה נתיחה שלאחר המוות.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נטען כי חוות הדעת של פרופ' מימון נכתבה מבלי שהיה בידיעתו הטיפול שקיבל המנוח בין התאריכים 16.02.20-20.02.20 במחלקה לטיפול נמרץ. מדובר בימי חייו האחרונים של המנוח, והם בעלי חשיבות רבה להבנת סיבת המוות.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נטען כי מתוך המסמכים הרפואיים שהתקבלו מהמחלקה לטיפול נמרץ נלמד כי בשלב מסוים, הייתה הטבה במצבו של המנוח; חל צימוח של חיידקים שאינו קלאסי לאספירציה; עלה  צורך לעריכת סי-טי בטן ואין תמונה ברורה בנוגע לסיבת המוות.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נטען כי כאשר מדובר בחוות דעת רפואית משפטית העוסקת בקשר הסיבתי שהביא למותו של אדם, היא אמורה להינתן על ידי אדם אובייקטיבי ולא באמצעות מי שהיה הרופא המטפל. בעניין זה, הוטעם כי המומחה היה בקשר עם המשפחה וכי: "</w:t>
      </w:r>
      <w:r w:rsidRPr="00987F99">
        <w:rPr>
          <w:rFonts w:ascii="David" w:eastAsia="Calibri" w:hAnsi="David"/>
          <w:b/>
          <w:bCs/>
          <w:rtl/>
        </w:rPr>
        <w:t>...אני חושבת שהיה לו איזה שהוא אינטרס, ואפילו גלוי, לקבוע שהמנוח נפטר מהירייה בראש, כי הוא גם אמר, חבל שהוא לא מת מהירי בפעם הראשונה</w:t>
      </w:r>
      <w:r w:rsidRPr="00987F99">
        <w:rPr>
          <w:rFonts w:ascii="David" w:eastAsia="Calibri" w:hAnsi="David"/>
          <w:rtl/>
        </w:rPr>
        <w:t>" (עמ' 43 לפרוט' מיום 6.7.23).</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גם אופן עריכתה של חוות הדעת על פי הנטען, פוגם במשקלה. מדובר במומחה שזו היא לו הפעם הראשונה בחייו שכתב חוות דעת. חוות הדעת לא נכתבה על פי הכללים המקובלים, כאשר אין תיק עבודה, אין תיעוד בנוגע לאיזה מסמכים היו מונחים בפניו, וישנו קושי של ממש להסתמך על זכרונו בנוגע למסמכים בהם צפה אם לאו. </w:t>
      </w:r>
    </w:p>
    <w:p w:rsidR="00CC6733" w:rsidRDefault="00CC6733" w:rsidP="00987F99">
      <w:pPr>
        <w:spacing w:before="120" w:after="120" w:line="360" w:lineRule="auto"/>
        <w:jc w:val="both"/>
        <w:rPr>
          <w:rFonts w:ascii="David" w:eastAsia="Calibri" w:hAnsi="David"/>
          <w:rtl/>
        </w:rPr>
      </w:pP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lastRenderedPageBreak/>
        <w:t>בעניינו של המנוח, התקבלו בהסכמה מהמוסדות בהם טופל "ארגזים" של מסמכים רפואיים, לצד דיסקים המכילים בדיקות דימות ואחרות. לצורך עריכת חוות הדעת היה מקום "</w:t>
      </w:r>
      <w:r w:rsidRPr="00987F99">
        <w:rPr>
          <w:rFonts w:ascii="David" w:eastAsia="Calibri" w:hAnsi="David"/>
          <w:b/>
          <w:bCs/>
          <w:rtl/>
        </w:rPr>
        <w:t>שמישהו יסתכל על המסמכים הרפואיים ויתרגם אותם לבית המשפט</w:t>
      </w:r>
      <w:r w:rsidRPr="00987F99">
        <w:rPr>
          <w:rFonts w:ascii="David" w:eastAsia="Calibri" w:hAnsi="David"/>
          <w:rtl/>
        </w:rPr>
        <w:t xml:space="preserve">". המאשימה אמנם הגישה מסמכים רפואיים אך אין בהם די שכן אלו נבחרו מתוך כלל המסמכים הרפואיים ועוסקים רק במקרים דומים למקרה שהתרחש באשפוז האחרון.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מדובר בחוות דעת שנכתבה בחופזה, נתון המתחדד על רקע  עמדת המכון לרפואה משפטית שציין כי לצורך עריכת חוות דעת הוא נזקק לשבועיים מלאים. אין בידיעתנו מה בדיוק התבקש המומחה לבדוק, ונגזרת מכך איזה פעולות מצופה היה שיעשה.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לטענת ההגנה נכון היה במקרה זה לשוב ולפנות למכון לרפואה משפטית ולהורות על הכנתה של חוות דעת, מהלך שהיה נעשה בהסכמת ההגנה. האופן בו נהגה המאשימה במקרים אחרים והתעקשה על איסוף מלוא החומרים הרפואיים, לרבות עריכת נתיחה לאחר המוות, מעיד אף הוא על הפגמים שנפלו בחוות הדעת של פרופסור מימון. אלה כאלה פוגמים בחוות הדעת ומקימים ספק של ממש בנוגע לקשר הסיבתי.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באשר </w:t>
      </w:r>
      <w:r w:rsidRPr="00987F99">
        <w:rPr>
          <w:rFonts w:ascii="David" w:eastAsia="Calibri" w:hAnsi="David"/>
          <w:u w:val="single"/>
          <w:rtl/>
        </w:rPr>
        <w:t>לטענת הקנטור</w:t>
      </w:r>
      <w:r w:rsidRPr="00987F99">
        <w:rPr>
          <w:rFonts w:ascii="David" w:eastAsia="Calibri" w:hAnsi="David"/>
          <w:rtl/>
        </w:rPr>
        <w:t>, נטען כי במהלך שמיעת הראיות בתיק ניסיון הרצח, בית המשפט המחוזי ראה כי מחובתו לבחון את טענת הקנטור הגם שהנאשם עמד על חפותו ולא העלה טענה זו במפורש, שכן "</w:t>
      </w:r>
      <w:r w:rsidRPr="00987F99">
        <w:rPr>
          <w:rFonts w:ascii="David" w:eastAsia="Calibri" w:hAnsi="David"/>
          <w:b/>
          <w:bCs/>
          <w:rtl/>
        </w:rPr>
        <w:t>זה מה שהראיות דיברו</w:t>
      </w:r>
      <w:r w:rsidRPr="00987F99">
        <w:rPr>
          <w:rFonts w:ascii="David" w:eastAsia="Calibri" w:hAnsi="David"/>
          <w:rtl/>
        </w:rPr>
        <w:t>". על בסיס אותו רציונל יש חובה לעשות כן גם בשלב זה.</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הוטעם כי הקביעות העובדתיות אליהן הגיע בית המשפט במסגרת תיק ניסיון הרצח (לפיהן הנאשם מבחינה סובייקטיבית קונטר), אמורות לשמש אותנו גם כיום. בחינה זו מתחייבת בשים לב לכך שהדין החדש הוא בבחינת דין מקל.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אם בעבר הושם הדגש על ה"מבחן האובייקטיבי" בדמות "האדם הסביר" כיום חל ה"מבחן הנורמטיבי" שהנו רחב יותר ומאפשר ליצוק לתוכו גם את הנתונים הקונקרטיים הנוגעים לנאשם ולנסיבות ביצוע העבירה. אכן, אין לראות בהתנהלות הנאשם ותגובתו הסובייקטיבית משום הצדקה לדפוס הפעולה בו נקט אך יש בכך "מיתון אשמתו" באופן המצדיק הקלה מסוימת כך שחלף עונש שיכול ויגיע למאסר עולם, הנאשם ייתן את הדין על עבירה שהעונש המקסימלי לצדה הינו 20 שנה. </w:t>
      </w:r>
    </w:p>
    <w:p w:rsidR="00987F99" w:rsidRPr="00987F99" w:rsidRDefault="00987F99" w:rsidP="00987F99">
      <w:pPr>
        <w:spacing w:before="120" w:after="120" w:line="360" w:lineRule="auto"/>
        <w:jc w:val="center"/>
        <w:rPr>
          <w:rFonts w:ascii="David" w:eastAsia="Calibri" w:hAnsi="David"/>
          <w:b/>
          <w:bCs/>
          <w:sz w:val="28"/>
          <w:szCs w:val="28"/>
          <w:u w:val="single"/>
          <w:rtl/>
        </w:rPr>
      </w:pPr>
      <w:r w:rsidRPr="00987F99">
        <w:rPr>
          <w:rFonts w:ascii="David" w:eastAsia="Calibri" w:hAnsi="David"/>
          <w:b/>
          <w:bCs/>
          <w:sz w:val="28"/>
          <w:szCs w:val="28"/>
          <w:u w:val="single"/>
          <w:rtl/>
        </w:rPr>
        <w:t>דיון והכרעה:</w:t>
      </w:r>
    </w:p>
    <w:p w:rsidR="00987F99" w:rsidRPr="00987F99" w:rsidRDefault="00987F99" w:rsidP="00987F99">
      <w:pPr>
        <w:spacing w:before="120" w:after="120" w:line="360" w:lineRule="auto"/>
        <w:jc w:val="both"/>
        <w:rPr>
          <w:rFonts w:ascii="David" w:eastAsia="Calibri" w:hAnsi="David"/>
          <w:b/>
          <w:bCs/>
          <w:u w:val="single"/>
          <w:rtl/>
        </w:rPr>
      </w:pPr>
      <w:r w:rsidRPr="00987F99">
        <w:rPr>
          <w:rFonts w:ascii="David" w:eastAsia="Calibri" w:hAnsi="David"/>
          <w:b/>
          <w:bCs/>
          <w:u w:val="single"/>
          <w:rtl/>
        </w:rPr>
        <w:t>קשר סיבתי – מסגרת נורמטיבית:</w:t>
      </w:r>
    </w:p>
    <w:p w:rsidR="00987F99" w:rsidRPr="00987F99" w:rsidRDefault="00987F99" w:rsidP="00987F99">
      <w:pPr>
        <w:spacing w:before="120" w:after="120" w:line="360" w:lineRule="auto"/>
        <w:rPr>
          <w:rFonts w:ascii="David" w:eastAsia="Calibri" w:hAnsi="David"/>
          <w:rtl/>
        </w:rPr>
      </w:pPr>
      <w:r w:rsidRPr="00987F99">
        <w:rPr>
          <w:rFonts w:ascii="David" w:eastAsia="Calibri" w:hAnsi="David"/>
          <w:rtl/>
        </w:rPr>
        <w:t>ז</w:t>
      </w:r>
      <w:r w:rsidRPr="00987F99">
        <w:rPr>
          <w:rFonts w:ascii="David" w:eastAsia="Calibri" w:hAnsi="David"/>
          <w:b/>
          <w:bCs/>
          <w:rtl/>
        </w:rPr>
        <w:t xml:space="preserve">והי הגדרתה של עבירת הרצח המיוחסת לנאשם </w:t>
      </w:r>
      <w:r w:rsidRPr="00987F99">
        <w:rPr>
          <w:rFonts w:ascii="David" w:eastAsia="Calibri" w:hAnsi="David"/>
          <w:rtl/>
        </w:rPr>
        <w:t>:</w:t>
      </w:r>
    </w:p>
    <w:p w:rsidR="00987F99" w:rsidRPr="00987F99" w:rsidRDefault="00987F99" w:rsidP="00987F99">
      <w:pPr>
        <w:spacing w:before="120" w:after="120" w:line="360" w:lineRule="auto"/>
        <w:rPr>
          <w:rFonts w:ascii="David" w:eastAsia="Calibri" w:hAnsi="David"/>
          <w:b/>
          <w:bCs/>
          <w:rtl/>
        </w:rPr>
      </w:pPr>
      <w:r w:rsidRPr="00987F99">
        <w:rPr>
          <w:rFonts w:ascii="David" w:eastAsia="Calibri" w:hAnsi="David"/>
          <w:b/>
          <w:bCs/>
          <w:rtl/>
        </w:rPr>
        <w:t xml:space="preserve">"300. (א)  </w:t>
      </w:r>
      <w:r w:rsidRPr="00987F99">
        <w:rPr>
          <w:rFonts w:ascii="David" w:eastAsia="Calibri" w:hAnsi="David"/>
          <w:b/>
          <w:bCs/>
          <w:u w:val="single"/>
          <w:rtl/>
        </w:rPr>
        <w:t xml:space="preserve">הגורם </w:t>
      </w:r>
      <w:r w:rsidRPr="00987F99">
        <w:rPr>
          <w:rFonts w:ascii="David" w:eastAsia="Calibri" w:hAnsi="David"/>
          <w:b/>
          <w:bCs/>
          <w:rtl/>
        </w:rPr>
        <w:t xml:space="preserve">בכוונה או באדישות </w:t>
      </w:r>
      <w:r w:rsidRPr="00987F99">
        <w:rPr>
          <w:rFonts w:ascii="David" w:eastAsia="Calibri" w:hAnsi="David"/>
          <w:b/>
          <w:bCs/>
          <w:u w:val="single"/>
          <w:rtl/>
        </w:rPr>
        <w:t xml:space="preserve">למותו </w:t>
      </w:r>
      <w:r w:rsidRPr="00987F99">
        <w:rPr>
          <w:rFonts w:ascii="David" w:eastAsia="Calibri" w:hAnsi="David"/>
          <w:b/>
          <w:bCs/>
          <w:rtl/>
        </w:rPr>
        <w:t>של אדם, דינו – מאסר עולם"</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הלכה היא מלפנינו כי בעבירה תוצאתית  יש להוכיח קיומו של "קשר סיבתי עובדתי" וקשר "סיבתי משפטי" בין ההתנהגות - "הגרימה", לבין התוצאה  - "מותו של אדם":</w:t>
      </w:r>
    </w:p>
    <w:p w:rsidR="00987F99" w:rsidRPr="00987F99" w:rsidRDefault="00987F99" w:rsidP="00987F99">
      <w:pPr>
        <w:shd w:val="clear" w:color="auto" w:fill="FFFFFF"/>
        <w:spacing w:before="120" w:after="120"/>
        <w:ind w:left="509" w:right="426"/>
        <w:jc w:val="both"/>
        <w:rPr>
          <w:rFonts w:ascii="David" w:eastAsia="Calibri" w:hAnsi="David"/>
          <w:rtl/>
        </w:rPr>
      </w:pPr>
      <w:r w:rsidRPr="00987F99">
        <w:rPr>
          <w:rFonts w:ascii="David" w:eastAsia="Calibri" w:hAnsi="David"/>
          <w:b/>
          <w:bCs/>
          <w:rtl/>
        </w:rPr>
        <w:lastRenderedPageBreak/>
        <w:t>"</w:t>
      </w:r>
      <w:r w:rsidRPr="00987F99">
        <w:rPr>
          <w:rFonts w:ascii="David" w:eastAsia="Calibri" w:hAnsi="David"/>
          <w:b/>
          <w:bCs/>
          <w:u w:val="single"/>
          <w:rtl/>
        </w:rPr>
        <w:t>דרישה לקשר סיבתי משמעה כי התנהגותו של הנאשם היוותה סיבה מהותית והכרחית, מנקודת ראות פיזית-אובייקטיבית, להתרחשות התוצאה</w:t>
      </w:r>
      <w:r w:rsidRPr="00987F99">
        <w:rPr>
          <w:rFonts w:ascii="David" w:eastAsia="Calibri" w:hAnsi="David"/>
          <w:b/>
          <w:bCs/>
          <w:rtl/>
        </w:rPr>
        <w:t xml:space="preserve">. בהתאם לכך, על התביעה להוכיח כי התנהגותו של הנאשם היוותה סיבה-בלעדיה-אין למות הקורבן. יודגש, כי התנהגותו של הנאשם אינה חייבת להיות הסיבה היחידה והתכופה להתרחשות המוות, אולם עליה להיות בעלת תרומה הכרחית להתרחשות התוצאה הקטלנית כפי שזו ארעה בפועל [...] קשר הסיבתי המשפטי בא על סיפוקו על פי מבחן הצפיות הסבירה, קרי: </w:t>
      </w:r>
      <w:r w:rsidRPr="00987F99">
        <w:rPr>
          <w:rFonts w:ascii="David" w:eastAsia="Calibri" w:hAnsi="David"/>
          <w:b/>
          <w:bCs/>
          <w:u w:val="single"/>
          <w:rtl/>
        </w:rPr>
        <w:t>הדרישה לקיומו של קשר סיבתי משפטי משמעה כי יש לבחון אם ניתן היה לצפות, באורח סביר ואובייקטיבי, את אפשרות התרחשותה של התוצאה הקטלנית</w:t>
      </w:r>
      <w:r w:rsidRPr="00987F99">
        <w:rPr>
          <w:rFonts w:ascii="David" w:eastAsia="Calibri" w:hAnsi="David"/>
          <w:b/>
          <w:bCs/>
          <w:rtl/>
        </w:rPr>
        <w:t xml:space="preserve">. נקבע בפסיקה כי כאשר מדובר בעבירות בהן נדרש יסוד נפשי של מודעות סובייקטיבית של הנאשם לרכיבים העובדתיים של העבירה, ובפרט לאפשרות גרימת התוצאה הקטלנית – כמו בעבירת ההריגה –אין צורך לבחון את שאלת הקשר הסיבתי המשפטי, ודי בקיומה של מודעות אישית –סובייקטיבית, לאפשרות של גרימת התוצאה הקטלנית (...) במילים אחרות, הקשר הסיבתי המשפטי 'נבלע' ביסוד הנפשי של עבירת ההריגה, ואין טעם בדיון מקדים בשאלת קיומו של היסוד האובייקטיבי". </w:t>
      </w:r>
      <w:r w:rsidRPr="00987F99">
        <w:rPr>
          <w:rFonts w:ascii="David" w:eastAsia="Calibri" w:hAnsi="David"/>
          <w:rtl/>
        </w:rPr>
        <w:t xml:space="preserve">(ע"פ 5656/11 </w:t>
      </w:r>
      <w:r w:rsidRPr="00987F99">
        <w:rPr>
          <w:rFonts w:ascii="David" w:eastAsia="Calibri" w:hAnsi="David"/>
          <w:b/>
          <w:bCs/>
          <w:rtl/>
        </w:rPr>
        <w:t xml:space="preserve">שולמן נ' מדינת ישראל </w:t>
      </w:r>
      <w:r w:rsidRPr="00987F99">
        <w:rPr>
          <w:rFonts w:ascii="David" w:eastAsia="Calibri" w:hAnsi="David"/>
          <w:rtl/>
        </w:rPr>
        <w:t>[פסקה 10 לפסק דינו של כב' הש' שהם](פורסם בנבו, 5.8.12) (להלן: "</w:t>
      </w:r>
      <w:r w:rsidRPr="00987F99">
        <w:rPr>
          <w:rFonts w:ascii="David" w:eastAsia="Calibri" w:hAnsi="David"/>
          <w:b/>
          <w:bCs/>
          <w:rtl/>
        </w:rPr>
        <w:t>עניין שולמן</w:t>
      </w:r>
      <w:r w:rsidRPr="00987F99">
        <w:rPr>
          <w:rFonts w:ascii="David" w:eastAsia="Calibri" w:hAnsi="David"/>
          <w:rtl/>
        </w:rPr>
        <w:t xml:space="preserve">")) (ההדגשות אינן במקור וכך גם מכאן ולהבא, ד.ב.ט). </w:t>
      </w:r>
    </w:p>
    <w:p w:rsidR="00987F99" w:rsidRPr="00987F99" w:rsidRDefault="00987F99" w:rsidP="00987F99">
      <w:pPr>
        <w:shd w:val="clear" w:color="auto" w:fill="FFFFFF"/>
        <w:tabs>
          <w:tab w:val="left" w:pos="8306"/>
        </w:tabs>
        <w:spacing w:before="120" w:after="120" w:line="360" w:lineRule="auto"/>
        <w:jc w:val="both"/>
        <w:rPr>
          <w:rFonts w:ascii="David" w:eastAsia="Calibri" w:hAnsi="David"/>
          <w:rtl/>
        </w:rPr>
      </w:pPr>
      <w:r w:rsidRPr="00987F99">
        <w:rPr>
          <w:rFonts w:ascii="David" w:eastAsia="Calibri" w:hAnsi="David"/>
          <w:rtl/>
        </w:rPr>
        <w:t xml:space="preserve">בדומה ר' ע"פ 10023/06 </w:t>
      </w:r>
      <w:r w:rsidRPr="00987F99">
        <w:rPr>
          <w:rFonts w:ascii="David" w:eastAsia="Calibri" w:hAnsi="David"/>
          <w:b/>
          <w:bCs/>
          <w:rtl/>
        </w:rPr>
        <w:t>מייסרה נ' מדינת ישראל</w:t>
      </w:r>
      <w:r w:rsidRPr="00987F99">
        <w:rPr>
          <w:rFonts w:ascii="David" w:eastAsia="Calibri" w:hAnsi="David"/>
          <w:rtl/>
        </w:rPr>
        <w:t xml:space="preserve"> [פסקה 4 לפסק דינו של כב' הש' הנדל] (פורסם בנבו, 9.12.09) (להלן: "</w:t>
      </w:r>
      <w:r w:rsidRPr="00987F99">
        <w:rPr>
          <w:rFonts w:ascii="David" w:eastAsia="Calibri" w:hAnsi="David"/>
          <w:b/>
          <w:bCs/>
          <w:rtl/>
        </w:rPr>
        <w:t>עניין מייסרה</w:t>
      </w:r>
      <w:r w:rsidRPr="00987F99">
        <w:rPr>
          <w:rFonts w:ascii="David" w:eastAsia="Calibri" w:hAnsi="David"/>
          <w:rtl/>
        </w:rPr>
        <w:t xml:space="preserve">"):  </w:t>
      </w:r>
    </w:p>
    <w:p w:rsidR="00987F99" w:rsidRPr="00987F99" w:rsidRDefault="00987F99" w:rsidP="0095140D">
      <w:pPr>
        <w:spacing w:before="120" w:after="120"/>
        <w:ind w:left="567" w:right="567"/>
        <w:jc w:val="both"/>
        <w:rPr>
          <w:rFonts w:ascii="David" w:eastAsia="Calibri" w:hAnsi="David"/>
          <w:b/>
          <w:bCs/>
          <w:u w:val="single"/>
          <w:rtl/>
        </w:rPr>
      </w:pPr>
      <w:r w:rsidRPr="00987F99">
        <w:rPr>
          <w:rFonts w:ascii="David" w:eastAsia="Calibri" w:hAnsi="David"/>
          <w:rtl/>
        </w:rPr>
        <w:t>"</w:t>
      </w:r>
      <w:r w:rsidRPr="00987F99">
        <w:rPr>
          <w:rFonts w:ascii="David" w:eastAsia="Calibri" w:hAnsi="David"/>
          <w:b/>
          <w:bCs/>
          <w:rtl/>
        </w:rPr>
        <w:t>תנאי בלתו אין להרשעת נאשם בעבירת המתה, הוא קיומו של קשר סיבתי בין מעשיו לבין תוצאת המוות. הפסיקה קבעה כי הקשר הסיבתי בעל שני רבדים: העובדתי והמשפטי. העובדתי – כשמו כן הוא – בדיקה היסטורית. המשפטי – נורמטיבי: קביעת מדיניות משפטית מתי, או ליתר דיוק עד לאיזה גבול, יהא אדם אחראי לקשר העובדתי שלו לאירוע מסוים. כדי להמחיש את העניין אצביע על דוגמת קצה: הרי, בלא לידת הרוצח – לא היה מתרחש הרצח. אך, כמובן שאין להאשים את הוריו במעשיו הפליליים. הפסיקה הגדירה את הקשר הסיבתי העובדתי באופן הבא: "</w:t>
      </w:r>
      <w:r w:rsidRPr="00987F99">
        <w:rPr>
          <w:rFonts w:ascii="David" w:eastAsia="Calibri" w:hAnsi="David"/>
          <w:b/>
          <w:bCs/>
          <w:u w:val="single"/>
          <w:rtl/>
        </w:rPr>
        <w:t>בבוחנו את דבר קיומו של קשר סיבתי עובדתי על בית-המשפט לקבוע אם ההתנהגות נשוא האישום מהווה סיבה פיזית הכרחית בשרשרת הסיבתית שהסתיימה בתוצאה הטראגית"</w:t>
      </w:r>
      <w:r w:rsidRPr="00987F99">
        <w:rPr>
          <w:rFonts w:ascii="David" w:eastAsia="Calibri" w:hAnsi="David"/>
          <w:b/>
          <w:bCs/>
          <w:rtl/>
        </w:rPr>
        <w:t xml:space="preserve"> (...) מבחן של "הסיבה בלעדיה אין".</w:t>
      </w:r>
      <w:r w:rsidRPr="00987F99">
        <w:rPr>
          <w:rFonts w:ascii="David" w:eastAsia="Calibri" w:hAnsi="David"/>
          <w:b/>
          <w:bCs/>
        </w:rPr>
        <w:t>  </w:t>
      </w:r>
      <w:r w:rsidRPr="00987F99">
        <w:rPr>
          <w:rFonts w:ascii="David" w:eastAsia="Calibri" w:hAnsi="David"/>
          <w:b/>
          <w:bCs/>
          <w:rtl/>
        </w:rPr>
        <w:t xml:space="preserve">הקשר הסיבתי המשפטי שזור במבחן הצפיות. המבחן בעבירת רצח הוא אובייקטיבי. די בכך שניתן היה </w:t>
      </w:r>
      <w:r w:rsidRPr="00987F99">
        <w:rPr>
          <w:rFonts w:ascii="David" w:eastAsia="Calibri" w:hAnsi="David"/>
          <w:b/>
          <w:bCs/>
          <w:u w:val="single"/>
          <w:rtl/>
        </w:rPr>
        <w:t>לצפות באורח סביר את התוצאה הקטלנית ושצריך היה לצפותה</w:t>
      </w:r>
      <w:r w:rsidRPr="00987F99">
        <w:rPr>
          <w:rFonts w:ascii="David" w:eastAsia="Calibri" w:hAnsi="David"/>
          <w:b/>
          <w:bCs/>
          <w:rtl/>
        </w:rPr>
        <w:t xml:space="preserve"> (שם</w:t>
      </w:r>
      <w:r w:rsidRPr="00987F99">
        <w:rPr>
          <w:rFonts w:ascii="David" w:eastAsia="Calibri" w:hAnsi="David"/>
          <w:b/>
          <w:bCs/>
        </w:rPr>
        <w:t>, </w:t>
      </w:r>
      <w:r w:rsidRPr="00987F99">
        <w:rPr>
          <w:rFonts w:ascii="David" w:eastAsia="Calibri" w:hAnsi="David"/>
          <w:b/>
          <w:bCs/>
          <w:rtl/>
        </w:rPr>
        <w:t xml:space="preserve">אבו ג'אנם). הדרישה לצפיות מופנית לתוצאה הקטלנית, לאו דווקא בדרך המסוימת שאליה התכוון המבצע. הקשר הסיבתי המשפטי "כולל צפייה של התוצאה". ככלל, די בהתקיימו של יסוד זה </w:t>
      </w:r>
      <w:r w:rsidRPr="00987F99">
        <w:rPr>
          <w:rFonts w:ascii="David" w:eastAsia="Calibri" w:hAnsi="David"/>
          <w:b/>
          <w:bCs/>
          <w:u w:val="single"/>
          <w:rtl/>
        </w:rPr>
        <w:t xml:space="preserve">ולכן גם אם התוצאה </w:t>
      </w:r>
      <w:r w:rsidRPr="00987F99">
        <w:rPr>
          <w:rFonts w:ascii="David" w:eastAsia="Calibri" w:hAnsi="David"/>
          <w:b/>
          <w:bCs/>
          <w:rtl/>
        </w:rPr>
        <w:t>הצפויה התרחשה באופן שונה מהצפוי, אין בכך כדי לנתק את הקשר הסיבתי.</w:t>
      </w:r>
      <w:r w:rsidRPr="00987F99">
        <w:rPr>
          <w:rFonts w:ascii="David" w:eastAsia="Calibri" w:hAnsi="David"/>
          <w:rtl/>
        </w:rPr>
        <w:t>"</w:t>
      </w:r>
    </w:p>
    <w:p w:rsidR="00CC6733" w:rsidRDefault="00CC6733" w:rsidP="00987F99">
      <w:pPr>
        <w:spacing w:before="120" w:after="120" w:line="360" w:lineRule="auto"/>
        <w:jc w:val="both"/>
        <w:rPr>
          <w:rFonts w:ascii="David" w:eastAsia="Calibri" w:hAnsi="David"/>
          <w:b/>
          <w:bCs/>
          <w:u w:val="single"/>
          <w:rtl/>
        </w:rPr>
      </w:pPr>
    </w:p>
    <w:p w:rsidR="00987F99" w:rsidRPr="00987F99" w:rsidRDefault="00987F99" w:rsidP="00987F99">
      <w:pPr>
        <w:spacing w:before="120" w:after="120" w:line="360" w:lineRule="auto"/>
        <w:jc w:val="both"/>
        <w:rPr>
          <w:rFonts w:ascii="David" w:eastAsia="Calibri" w:hAnsi="David"/>
          <w:b/>
          <w:bCs/>
          <w:u w:val="single"/>
          <w:rtl/>
        </w:rPr>
      </w:pPr>
      <w:r w:rsidRPr="00987F99">
        <w:rPr>
          <w:rFonts w:ascii="David" w:eastAsia="Calibri" w:hAnsi="David"/>
          <w:b/>
          <w:bCs/>
          <w:u w:val="single"/>
          <w:rtl/>
        </w:rPr>
        <w:t>מן הכלל אל הפרט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הוכח לפנינו קיומו של קשר סיבתי עובדתי ברור בין הירייה שירה הנאשם בראשו של </w:t>
      </w:r>
      <w:r w:rsidR="008E5FF0">
        <w:rPr>
          <w:rFonts w:ascii="David" w:eastAsia="Calibri" w:hAnsi="David"/>
          <w:rtl/>
        </w:rPr>
        <w:t>המנוח</w:t>
      </w:r>
      <w:r w:rsidRPr="00987F99">
        <w:rPr>
          <w:rFonts w:ascii="David" w:eastAsia="Calibri" w:hAnsi="David"/>
          <w:rtl/>
        </w:rPr>
        <w:t xml:space="preserve"> בשנת 2015 לבין מותו בשנת 2020. קביעתנו זו נסמכת בעיקרה על חוות דעתו של מומחה התביעה פרופ' מימון לה מצאנו לתת משקל רב, לצד "עובדות קשות" והחלתם של מבחני היגיון ושכל ישר. </w:t>
      </w:r>
    </w:p>
    <w:p w:rsidR="00A41D2A" w:rsidRDefault="00A41D2A" w:rsidP="00987F99">
      <w:pPr>
        <w:spacing w:before="120" w:after="120" w:line="360" w:lineRule="auto"/>
        <w:jc w:val="both"/>
        <w:rPr>
          <w:rFonts w:ascii="David" w:eastAsia="Calibri" w:hAnsi="David"/>
          <w:b/>
          <w:bCs/>
          <w:u w:val="single"/>
          <w:rtl/>
        </w:rPr>
      </w:pPr>
    </w:p>
    <w:p w:rsidR="00A41D2A" w:rsidRDefault="00A41D2A" w:rsidP="00987F99">
      <w:pPr>
        <w:spacing w:before="120" w:after="120" w:line="360" w:lineRule="auto"/>
        <w:jc w:val="both"/>
        <w:rPr>
          <w:rFonts w:ascii="David" w:eastAsia="Calibri" w:hAnsi="David"/>
          <w:b/>
          <w:bCs/>
          <w:u w:val="single"/>
          <w:rtl/>
        </w:rPr>
      </w:pP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b/>
          <w:bCs/>
          <w:u w:val="single"/>
          <w:rtl/>
        </w:rPr>
        <w:lastRenderedPageBreak/>
        <w:t xml:space="preserve">בהתאם לחוות דעתו של פרופ' מימון זהו קשר הסיבתי העובדתי שהביא למותו של </w:t>
      </w:r>
      <w:r w:rsidR="00CC6733">
        <w:rPr>
          <w:rFonts w:ascii="David" w:eastAsia="Calibri" w:hAnsi="David"/>
          <w:b/>
          <w:bCs/>
          <w:u w:val="single"/>
          <w:rtl/>
        </w:rPr>
        <w:t>ת.מ</w:t>
      </w:r>
      <w:r w:rsidRPr="00987F99">
        <w:rPr>
          <w:rFonts w:ascii="David" w:eastAsia="Calibri" w:hAnsi="David"/>
          <w:b/>
          <w:bCs/>
          <w:u w:val="single"/>
          <w:rtl/>
        </w:rPr>
        <w:t xml:space="preserve">: </w:t>
      </w:r>
    </w:p>
    <w:p w:rsidR="00987F99" w:rsidRPr="00987F99" w:rsidRDefault="00987F99" w:rsidP="00987F99">
      <w:pPr>
        <w:spacing w:after="120" w:line="360" w:lineRule="auto"/>
        <w:jc w:val="both"/>
        <w:rPr>
          <w:rFonts w:ascii="David" w:eastAsia="Calibri" w:hAnsi="David"/>
          <w:b/>
          <w:bCs/>
          <w:u w:val="single"/>
          <w:rtl/>
        </w:rPr>
      </w:pPr>
      <w:r w:rsidRPr="00987F99">
        <w:rPr>
          <w:rFonts w:ascii="Calibri" w:eastAsia="Calibri" w:hAnsi="Calibri" w:cs="Arial"/>
          <w:noProof/>
          <w:sz w:val="22"/>
          <w:szCs w:val="22"/>
          <w:rtl/>
        </w:rPr>
        <mc:AlternateContent>
          <mc:Choice Requires="wps">
            <w:drawing>
              <wp:anchor distT="0" distB="0" distL="114300" distR="114300" simplePos="0" relativeHeight="251659264" behindDoc="0" locked="0" layoutInCell="1" allowOverlap="1" wp14:anchorId="1BFD6B94" wp14:editId="52D1D51C">
                <wp:simplePos x="0" y="0"/>
                <wp:positionH relativeFrom="margin">
                  <wp:posOffset>4686300</wp:posOffset>
                </wp:positionH>
                <wp:positionV relativeFrom="paragraph">
                  <wp:posOffset>647700</wp:posOffset>
                </wp:positionV>
                <wp:extent cx="287020" cy="342900"/>
                <wp:effectExtent l="19050" t="0" r="17780" b="38100"/>
                <wp:wrapNone/>
                <wp:docPr id="8" name="חץ מעוקל שמאלה 1"/>
                <wp:cNvGraphicFramePr/>
                <a:graphic xmlns:a="http://schemas.openxmlformats.org/drawingml/2006/main">
                  <a:graphicData uri="http://schemas.microsoft.com/office/word/2010/wordprocessingShape">
                    <wps:wsp>
                      <wps:cNvSpPr/>
                      <wps:spPr>
                        <a:xfrm>
                          <a:off x="0" y="0"/>
                          <a:ext cx="287020" cy="342900"/>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103" coordsize="21600,21600" o:spt="103" adj="12960,19440,7200" path="wr@22,0@21@3,,0@21@4@22@14@21@1@21@7@2@12l@2@13,0@8@2@11at@22,0@21@3@2@10@24@16@22@14@21@1@24@16,0@14xear@22@14@21@1@21@7@24@16nfe" w14:anchorId="0B9123F8">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textboxrect="@43,@41,@44,@42" o:connecttype="custom" o:connectlocs="0,@15;@2,@11;0,@8;@2,@13;@21,@16" o:connectangles="180,180,180,90,0" o:extrusionok="f"/>
                <v:handles>
                  <v:h position="topLeft,#0" yrange="@37,@27"/>
                  <v:h position="topLeft,#1" yrange="@25,@20"/>
                  <v:h position="#2,bottomRight" xrange="0,@40"/>
                </v:handles>
                <o:complex v:ext="view"/>
              </v:shapetype>
              <v:shape id="חץ מעוקל שמאלה 1" style="position:absolute;left:0;text-align:left;margin-left:369pt;margin-top:51pt;width:22.6pt;height:2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5b9bd5" strokecolor="#41719c" strokeweight="1pt" type="#_x0000_t103" adj="12560,1934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">
                <w10:wrap anchorx="margin"/>
              </v:shape>
            </w:pict>
          </mc:Fallback>
        </mc:AlternateContent>
      </w:r>
      <w:r w:rsidRPr="00987F99">
        <w:rPr>
          <w:rFonts w:ascii="David" w:eastAsia="Calibri" w:hAnsi="David"/>
          <w:b/>
          <w:bCs/>
          <w:rtl/>
        </w:rPr>
        <w:t>הירייה בראש גרמה ל</w:t>
      </w:r>
      <w:r w:rsidR="00CC6733">
        <w:rPr>
          <w:rFonts w:ascii="David" w:eastAsia="Calibri" w:hAnsi="David"/>
          <w:b/>
          <w:bCs/>
          <w:rtl/>
        </w:rPr>
        <w:t>ת.מ</w:t>
      </w:r>
      <w:r w:rsidRPr="00987F99">
        <w:rPr>
          <w:rFonts w:ascii="David" w:eastAsia="Calibri" w:hAnsi="David"/>
          <w:b/>
          <w:bCs/>
          <w:rtl/>
        </w:rPr>
        <w:t xml:space="preserve"> חבלת ראש קשה, צמיתה, בעטיה הפך לסיעודי, שכוב ומרותק למיטה. בנוסף, חבלת הראש גרמה לכך ש</w:t>
      </w:r>
      <w:r w:rsidR="00CC6733">
        <w:rPr>
          <w:rFonts w:ascii="David" w:eastAsia="Calibri" w:hAnsi="David"/>
          <w:b/>
          <w:bCs/>
          <w:rtl/>
        </w:rPr>
        <w:t>ת.מ</w:t>
      </w:r>
      <w:r w:rsidRPr="00987F99">
        <w:rPr>
          <w:rFonts w:ascii="David" w:eastAsia="Calibri" w:hAnsi="David"/>
          <w:b/>
          <w:bCs/>
          <w:rtl/>
        </w:rPr>
        <w:t xml:space="preserve"> לא יכול היה לשלוט באופן עצמוני בדרכי האוויר העליונות ועל כן היה צורך בפתיחת פתח בקנה הנשימה</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b/>
          <w:bCs/>
          <w:u w:val="single"/>
          <w:rtl/>
        </w:rPr>
      </w:pPr>
    </w:p>
    <w:p w:rsidR="00987F99" w:rsidRPr="00987F99" w:rsidRDefault="00987F99" w:rsidP="00987F99">
      <w:pPr>
        <w:tabs>
          <w:tab w:val="left" w:pos="935"/>
        </w:tabs>
        <w:spacing w:after="120" w:line="360" w:lineRule="auto"/>
        <w:jc w:val="both"/>
        <w:rPr>
          <w:rFonts w:ascii="David" w:eastAsia="Calibri" w:hAnsi="David"/>
          <w:b/>
          <w:bCs/>
          <w:u w:val="single"/>
          <w:rtl/>
        </w:rPr>
      </w:pPr>
      <w:r w:rsidRPr="00987F99">
        <w:rPr>
          <w:rFonts w:ascii="Calibri" w:eastAsia="Calibri" w:hAnsi="Calibri" w:cs="Arial"/>
          <w:noProof/>
          <w:sz w:val="22"/>
          <w:szCs w:val="22"/>
          <w:rtl/>
        </w:rPr>
        <mc:AlternateContent>
          <mc:Choice Requires="wps">
            <w:drawing>
              <wp:anchor distT="0" distB="0" distL="114300" distR="114300" simplePos="0" relativeHeight="251660288" behindDoc="0" locked="0" layoutInCell="1" allowOverlap="1" wp14:anchorId="6414D30C" wp14:editId="36E1D6BA">
                <wp:simplePos x="0" y="0"/>
                <wp:positionH relativeFrom="margin">
                  <wp:posOffset>4706620</wp:posOffset>
                </wp:positionH>
                <wp:positionV relativeFrom="paragraph">
                  <wp:posOffset>405130</wp:posOffset>
                </wp:positionV>
                <wp:extent cx="287020" cy="400050"/>
                <wp:effectExtent l="19050" t="0" r="17780" b="38100"/>
                <wp:wrapNone/>
                <wp:docPr id="5" name="חץ מעוקל שמאלה 5"/>
                <wp:cNvGraphicFramePr/>
                <a:graphic xmlns:a="http://schemas.openxmlformats.org/drawingml/2006/main">
                  <a:graphicData uri="http://schemas.microsoft.com/office/word/2010/wordprocessingShape">
                    <wps:wsp>
                      <wps:cNvSpPr/>
                      <wps:spPr>
                        <a:xfrm>
                          <a:off x="0" y="0"/>
                          <a:ext cx="287020" cy="400050"/>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חץ מעוקל שמאלה 5" style="position:absolute;left:0;text-align:left;margin-left:370.6pt;margin-top:31.9pt;width:22.6pt;height:3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5b9bd5" strokecolor="#41719c" strokeweight="1pt" type="#_x0000_t103" adj="13851,19663,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" w14:anchorId="6AEC8C99">
                <w10:wrap anchorx="margin"/>
              </v:shape>
            </w:pict>
          </mc:Fallback>
        </mc:AlternateContent>
      </w:r>
      <w:r w:rsidRPr="00987F99">
        <w:rPr>
          <w:rFonts w:ascii="David" w:eastAsia="Calibri" w:hAnsi="David"/>
          <w:b/>
          <w:bCs/>
          <w:u w:val="single"/>
          <w:rtl/>
        </w:rPr>
        <w:t xml:space="preserve">בשל מצבו של </w:t>
      </w:r>
      <w:r w:rsidR="00CC6733">
        <w:rPr>
          <w:rFonts w:ascii="David" w:eastAsia="Calibri" w:hAnsi="David"/>
          <w:b/>
          <w:bCs/>
          <w:u w:val="single"/>
          <w:rtl/>
        </w:rPr>
        <w:t>ת.מ</w:t>
      </w:r>
      <w:r w:rsidRPr="00987F99">
        <w:rPr>
          <w:rFonts w:ascii="David" w:eastAsia="Calibri" w:hAnsi="David"/>
          <w:b/>
          <w:bCs/>
          <w:u w:val="single"/>
          <w:rtl/>
        </w:rPr>
        <w:t xml:space="preserve"> (שכיבה ממושכת ופרכוסים) הוא פיתח נטייה גדולה מהרגיל לאספירציות (פליטות של חומרי קיבה אל תוך דרכי הנשימה) והצטברות הפרשות בדרכי הנשימה העליונות.</w:t>
      </w:r>
    </w:p>
    <w:p w:rsidR="00987F99" w:rsidRPr="00987F99" w:rsidRDefault="00987F99" w:rsidP="00987F99">
      <w:pPr>
        <w:spacing w:before="120" w:after="120" w:line="360" w:lineRule="auto"/>
        <w:jc w:val="both"/>
        <w:rPr>
          <w:rFonts w:ascii="David" w:eastAsia="Calibri" w:hAnsi="David"/>
          <w:b/>
          <w:bCs/>
          <w:u w:val="single"/>
          <w:rtl/>
        </w:rPr>
      </w:pPr>
    </w:p>
    <w:p w:rsidR="00987F99" w:rsidRPr="00987F99" w:rsidRDefault="00987F99" w:rsidP="00987F99">
      <w:pPr>
        <w:spacing w:after="120" w:line="360" w:lineRule="auto"/>
        <w:jc w:val="both"/>
        <w:rPr>
          <w:rFonts w:ascii="David" w:eastAsia="Calibri" w:hAnsi="David"/>
          <w:b/>
          <w:bCs/>
          <w:rtl/>
        </w:rPr>
      </w:pPr>
      <w:r w:rsidRPr="00987F99">
        <w:rPr>
          <w:rFonts w:ascii="Calibri" w:eastAsia="Calibri" w:hAnsi="Calibri" w:cs="Arial"/>
          <w:noProof/>
          <w:sz w:val="22"/>
          <w:szCs w:val="22"/>
          <w:rtl/>
        </w:rPr>
        <mc:AlternateContent>
          <mc:Choice Requires="wps">
            <w:drawing>
              <wp:anchor distT="0" distB="0" distL="114300" distR="114300" simplePos="0" relativeHeight="251661312" behindDoc="0" locked="0" layoutInCell="1" allowOverlap="1" wp14:anchorId="0DF15BBD" wp14:editId="61B7C8F0">
                <wp:simplePos x="0" y="0"/>
                <wp:positionH relativeFrom="margin">
                  <wp:posOffset>4686300</wp:posOffset>
                </wp:positionH>
                <wp:positionV relativeFrom="paragraph">
                  <wp:posOffset>635635</wp:posOffset>
                </wp:positionV>
                <wp:extent cx="287020" cy="390525"/>
                <wp:effectExtent l="19050" t="0" r="17780" b="47625"/>
                <wp:wrapNone/>
                <wp:docPr id="6" name="חץ מעוקל שמאלה 6"/>
                <wp:cNvGraphicFramePr/>
                <a:graphic xmlns:a="http://schemas.openxmlformats.org/drawingml/2006/main">
                  <a:graphicData uri="http://schemas.microsoft.com/office/word/2010/wordprocessingShape">
                    <wps:wsp>
                      <wps:cNvSpPr/>
                      <wps:spPr>
                        <a:xfrm>
                          <a:off x="0" y="0"/>
                          <a:ext cx="287020" cy="390525"/>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חץ מעוקל שמאלה 6" style="position:absolute;left:0;text-align:left;margin-left:369pt;margin-top:50.05pt;width:22.6pt;height:30.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5b9bd5" strokecolor="#41719c" strokeweight="1pt" type="#_x0000_t103" adj="13662,19615,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" w14:anchorId="130AE071">
                <w10:wrap anchorx="margin"/>
              </v:shape>
            </w:pict>
          </mc:Fallback>
        </mc:AlternateContent>
      </w:r>
      <w:r w:rsidRPr="00987F99">
        <w:rPr>
          <w:rFonts w:ascii="David" w:eastAsia="Calibri" w:hAnsi="David"/>
          <w:b/>
          <w:bCs/>
          <w:rtl/>
        </w:rPr>
        <w:t xml:space="preserve">בעוד אדם בריא יכול לסלק אספירציות שחדרו לדרכי הנשימה העליונות בקלות רבה, כך למשל, על ידי שיעול, לא כך במקרה של </w:t>
      </w:r>
      <w:r w:rsidR="00CC6733">
        <w:rPr>
          <w:rFonts w:ascii="David" w:eastAsia="Calibri" w:hAnsi="David"/>
          <w:b/>
          <w:bCs/>
          <w:rtl/>
        </w:rPr>
        <w:t>ת.מ</w:t>
      </w:r>
      <w:r w:rsidRPr="00987F99">
        <w:rPr>
          <w:rFonts w:ascii="David" w:eastAsia="Calibri" w:hAnsi="David"/>
          <w:b/>
          <w:bCs/>
          <w:rtl/>
        </w:rPr>
        <w:t xml:space="preserve"> שהיה מרותק למיטה ונזקק לתמיכה חיצונית על מנת לעשות כן (בעיקר על ידי החדרת צינורות לקנה הנשימה וביצוע סקשן). </w:t>
      </w:r>
    </w:p>
    <w:p w:rsidR="00987F99" w:rsidRPr="00987F99" w:rsidRDefault="00987F99" w:rsidP="00987F99">
      <w:pPr>
        <w:spacing w:before="120" w:after="120" w:line="360" w:lineRule="auto"/>
        <w:jc w:val="both"/>
        <w:rPr>
          <w:rFonts w:ascii="David" w:eastAsia="Calibri" w:hAnsi="David"/>
          <w:b/>
          <w:bCs/>
          <w:rtl/>
        </w:rPr>
      </w:pPr>
    </w:p>
    <w:p w:rsidR="00987F99" w:rsidRPr="00987F99" w:rsidRDefault="00987F99" w:rsidP="00987F99">
      <w:pPr>
        <w:spacing w:after="120" w:line="360" w:lineRule="auto"/>
        <w:jc w:val="both"/>
        <w:rPr>
          <w:rFonts w:ascii="David" w:eastAsia="Calibri" w:hAnsi="David"/>
          <w:b/>
          <w:bCs/>
          <w:rtl/>
        </w:rPr>
      </w:pPr>
      <w:r w:rsidRPr="00987F99">
        <w:rPr>
          <w:rFonts w:ascii="Calibri" w:eastAsia="Calibri" w:hAnsi="Calibri" w:cs="Arial"/>
          <w:noProof/>
          <w:sz w:val="22"/>
          <w:szCs w:val="22"/>
          <w:rtl/>
        </w:rPr>
        <mc:AlternateContent>
          <mc:Choice Requires="wps">
            <w:drawing>
              <wp:anchor distT="0" distB="0" distL="114300" distR="114300" simplePos="0" relativeHeight="251662336" behindDoc="0" locked="0" layoutInCell="1" allowOverlap="1" wp14:anchorId="7F59161B" wp14:editId="654B5C6F">
                <wp:simplePos x="0" y="0"/>
                <wp:positionH relativeFrom="margin">
                  <wp:posOffset>4658995</wp:posOffset>
                </wp:positionH>
                <wp:positionV relativeFrom="paragraph">
                  <wp:posOffset>402590</wp:posOffset>
                </wp:positionV>
                <wp:extent cx="287020" cy="409575"/>
                <wp:effectExtent l="19050" t="0" r="17780" b="47625"/>
                <wp:wrapNone/>
                <wp:docPr id="7" name="חץ מעוקל שמאלה 7"/>
                <wp:cNvGraphicFramePr/>
                <a:graphic xmlns:a="http://schemas.openxmlformats.org/drawingml/2006/main">
                  <a:graphicData uri="http://schemas.microsoft.com/office/word/2010/wordprocessingShape">
                    <wps:wsp>
                      <wps:cNvSpPr/>
                      <wps:spPr>
                        <a:xfrm>
                          <a:off x="0" y="0"/>
                          <a:ext cx="287020" cy="409575"/>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חץ מעוקל שמאלה 7" style="position:absolute;left:0;text-align:left;margin-left:366.85pt;margin-top:31.7pt;width:22.6pt;height:32.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5b9bd5" strokecolor="#41719c" strokeweight="1pt" type="#_x0000_t103" adj="14032,19708,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" w14:anchorId="673521B5">
                <w10:wrap anchorx="margin"/>
              </v:shape>
            </w:pict>
          </mc:Fallback>
        </mc:AlternateContent>
      </w:r>
      <w:r w:rsidRPr="00987F99">
        <w:rPr>
          <w:rFonts w:ascii="David" w:eastAsia="Calibri" w:hAnsi="David"/>
          <w:b/>
          <w:bCs/>
          <w:rtl/>
        </w:rPr>
        <w:t xml:space="preserve">הקושי האמור של </w:t>
      </w:r>
      <w:r w:rsidR="00CC6733">
        <w:rPr>
          <w:rFonts w:ascii="David" w:eastAsia="Calibri" w:hAnsi="David"/>
          <w:b/>
          <w:bCs/>
          <w:rtl/>
        </w:rPr>
        <w:t>ת.מ</w:t>
      </w:r>
      <w:r w:rsidRPr="00987F99">
        <w:rPr>
          <w:rFonts w:ascii="David" w:eastAsia="Calibri" w:hAnsi="David"/>
          <w:b/>
          <w:bCs/>
          <w:rtl/>
        </w:rPr>
        <w:t xml:space="preserve"> הביא לסילוק לא יעיל של אספירציות. הימצאות אספירציות בדרכי הנשימה הביאה להתפתחות דלקות ריאה חוזרות. </w:t>
      </w:r>
    </w:p>
    <w:p w:rsidR="00987F99" w:rsidRPr="00987F99" w:rsidRDefault="00987F99" w:rsidP="00987F99">
      <w:pPr>
        <w:spacing w:before="120" w:after="120" w:line="360" w:lineRule="auto"/>
        <w:jc w:val="both"/>
        <w:rPr>
          <w:rFonts w:ascii="David" w:eastAsia="Calibri" w:hAnsi="David"/>
          <w:b/>
          <w:bCs/>
          <w:u w:val="single"/>
          <w:rtl/>
        </w:rPr>
      </w:pPr>
    </w:p>
    <w:p w:rsidR="00987F99" w:rsidRPr="00987F99" w:rsidRDefault="00987F99" w:rsidP="00987F99">
      <w:pPr>
        <w:spacing w:before="120" w:after="120" w:line="360" w:lineRule="auto"/>
        <w:jc w:val="both"/>
        <w:rPr>
          <w:rFonts w:ascii="David" w:eastAsia="Calibri" w:hAnsi="David"/>
          <w:b/>
          <w:bCs/>
          <w:rtl/>
        </w:rPr>
      </w:pPr>
      <w:r w:rsidRPr="00987F99">
        <w:rPr>
          <w:rFonts w:ascii="David" w:eastAsia="Calibri" w:hAnsi="David"/>
          <w:b/>
          <w:bCs/>
          <w:rtl/>
        </w:rPr>
        <w:t xml:space="preserve">מנגנון זה התרחש גם באשפוזו האחרון: </w:t>
      </w:r>
      <w:r w:rsidR="00CC6733">
        <w:rPr>
          <w:rFonts w:ascii="David" w:eastAsia="Calibri" w:hAnsi="David"/>
          <w:b/>
          <w:bCs/>
          <w:rtl/>
        </w:rPr>
        <w:t>ת.מ</w:t>
      </w:r>
      <w:r w:rsidRPr="00987F99">
        <w:rPr>
          <w:rFonts w:ascii="David" w:eastAsia="Calibri" w:hAnsi="David"/>
          <w:b/>
          <w:bCs/>
          <w:rtl/>
        </w:rPr>
        <w:t xml:space="preserve"> סבל מאספירציה מסיבית שנכנסה אל תוך דרכי הנשימה העליונים שלו – </w:t>
      </w:r>
      <w:r w:rsidR="00CC6733">
        <w:rPr>
          <w:rFonts w:ascii="David" w:eastAsia="Calibri" w:hAnsi="David"/>
          <w:b/>
          <w:bCs/>
          <w:rtl/>
        </w:rPr>
        <w:t>ת.מ</w:t>
      </w:r>
      <w:r w:rsidRPr="00987F99">
        <w:rPr>
          <w:rFonts w:ascii="David" w:eastAsia="Calibri" w:hAnsi="David"/>
          <w:b/>
          <w:bCs/>
          <w:rtl/>
        </w:rPr>
        <w:t xml:space="preserve"> לא יכול היה לסלק את אותה אספירציה - כתוצאה מכך חלה ירידה חמורה בסטורציה (החימצון בדם)  - </w:t>
      </w:r>
      <w:r w:rsidR="00CC6733">
        <w:rPr>
          <w:rFonts w:ascii="David" w:eastAsia="Calibri" w:hAnsi="David"/>
          <w:b/>
          <w:bCs/>
          <w:rtl/>
        </w:rPr>
        <w:t>ת.מ</w:t>
      </w:r>
      <w:r w:rsidRPr="00987F99">
        <w:rPr>
          <w:rFonts w:ascii="David" w:eastAsia="Calibri" w:hAnsi="David"/>
          <w:b/>
          <w:bCs/>
          <w:rtl/>
        </w:rPr>
        <w:t xml:space="preserve"> פיתח דלקת ריאות שהמשכה כשל נשימתי  (</w:t>
      </w:r>
      <w:r w:rsidRPr="00987F99">
        <w:rPr>
          <w:rFonts w:ascii="David" w:eastAsia="Calibri" w:hAnsi="David"/>
          <w:b/>
          <w:bCs/>
        </w:rPr>
        <w:t>ADSR</w:t>
      </w:r>
      <w:r w:rsidRPr="00987F99">
        <w:rPr>
          <w:rFonts w:ascii="David" w:eastAsia="Calibri" w:hAnsi="David"/>
          <w:b/>
          <w:bCs/>
          <w:rtl/>
        </w:rPr>
        <w:t xml:space="preserve">) שהוביל לפטירתו.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הדברים צוינו בתמצית בחוות הדעת הכתובה של פרופ' מימון ומצאו ביטוי נרחב בעדותו לפנינו.</w:t>
      </w:r>
    </w:p>
    <w:p w:rsidR="00987F99" w:rsidRPr="00987F99" w:rsidRDefault="00987F99" w:rsidP="00987F99">
      <w:pPr>
        <w:spacing w:before="120" w:after="120" w:line="360" w:lineRule="auto"/>
        <w:jc w:val="both"/>
        <w:rPr>
          <w:rFonts w:ascii="David" w:eastAsia="David" w:hAnsi="David"/>
          <w:b/>
          <w:bCs/>
          <w:rtl/>
        </w:rPr>
      </w:pPr>
      <w:r w:rsidRPr="00987F99">
        <w:rPr>
          <w:rFonts w:ascii="David" w:eastAsia="David" w:hAnsi="David"/>
          <w:rtl/>
        </w:rPr>
        <w:t xml:space="preserve">כך באופן כללי תיאר המומחה </w:t>
      </w:r>
      <w:r w:rsidRPr="00987F99">
        <w:rPr>
          <w:rFonts w:ascii="David" w:eastAsia="Calibri" w:hAnsi="David"/>
          <w:rtl/>
        </w:rPr>
        <w:t>את הקשר בין גילו ומצבו של המטופל לבין יכולתו לפנות את ההפרשות מדרכי הנשימה: "</w:t>
      </w:r>
      <w:r w:rsidRPr="00987F99">
        <w:rPr>
          <w:rFonts w:ascii="David" w:eastAsia="David" w:hAnsi="David"/>
          <w:b/>
          <w:bCs/>
          <w:rtl/>
        </w:rPr>
        <w:t xml:space="preserve">היכולת שלנו לפנות את ההפרשות שלנו מדרכי האוויר תלויה מאוד... תלויה מאוד בשליטה בדרכי האוויר העליונות. </w:t>
      </w:r>
      <w:r w:rsidRPr="00987F99">
        <w:rPr>
          <w:rFonts w:ascii="David" w:eastAsia="David" w:hAnsi="David"/>
          <w:b/>
          <w:bCs/>
          <w:u w:val="single"/>
          <w:rtl/>
        </w:rPr>
        <w:t>מי שעומד, יושב, מצבו הרבה יותר טוב ממי ששוכב</w:t>
      </w:r>
      <w:r w:rsidRPr="00987F99">
        <w:rPr>
          <w:rFonts w:ascii="David" w:eastAsia="David" w:hAnsi="David"/>
          <w:b/>
          <w:bCs/>
          <w:rtl/>
        </w:rPr>
        <w:t xml:space="preserve">. כל ההפרשות שקורות בדרכי האוויר העליונות מפונות החוצה באמצעות שיעול, ואפילו לפעמים שיעול קטנטן שהוא לא אפקטיבי באנשים ששוכבים, </w:t>
      </w:r>
      <w:r w:rsidRPr="00987F99">
        <w:rPr>
          <w:rFonts w:ascii="David" w:eastAsia="David" w:hAnsi="David"/>
          <w:b/>
          <w:bCs/>
          <w:u w:val="single"/>
          <w:rtl/>
        </w:rPr>
        <w:t>ולכן הנטייה שלך או של כולנו כאנשים צעירים לפתח אספירציות היא מאוד מאוד קטנה</w:t>
      </w:r>
      <w:r w:rsidRPr="00987F99">
        <w:rPr>
          <w:rFonts w:ascii="David" w:eastAsia="David" w:hAnsi="David"/>
          <w:b/>
          <w:bCs/>
          <w:rtl/>
        </w:rPr>
        <w:t xml:space="preserve">. הנטייה הזאת הולכת ועולה עד שאנחנו נהיים זקנים, כשאנחנו נהיים זקנים, והרבה פעמים לפני גם האנטיביוטיקה, כלומר הייתה קוטלת את הזקנים </w:t>
      </w:r>
      <w:r w:rsidRPr="00987F99">
        <w:rPr>
          <w:rFonts w:ascii="David" w:eastAsia="David" w:hAnsi="David"/>
          <w:b/>
          <w:bCs/>
          <w:u w:val="single"/>
          <w:rtl/>
        </w:rPr>
        <w:t>כי הם שוכבים במיטה וכל ההפרשות מופנות לתוך הריאות ואז מתפתחת דלקת ריאות</w:t>
      </w:r>
      <w:r w:rsidRPr="00987F99">
        <w:rPr>
          <w:rFonts w:ascii="David" w:eastAsia="David" w:hAnsi="David"/>
          <w:b/>
          <w:bCs/>
          <w:rtl/>
        </w:rPr>
        <w:t xml:space="preserve">. מי </w:t>
      </w:r>
      <w:r w:rsidRPr="00987F99">
        <w:rPr>
          <w:rFonts w:ascii="David" w:eastAsia="David" w:hAnsi="David"/>
          <w:b/>
          <w:bCs/>
          <w:u w:val="single"/>
          <w:rtl/>
        </w:rPr>
        <w:t xml:space="preserve">ששוכב כמו </w:t>
      </w:r>
      <w:r w:rsidR="00CC6733">
        <w:rPr>
          <w:rFonts w:ascii="David" w:eastAsia="David" w:hAnsi="David"/>
          <w:b/>
          <w:bCs/>
          <w:u w:val="single"/>
          <w:rtl/>
        </w:rPr>
        <w:t>[ת.מ]</w:t>
      </w:r>
      <w:r w:rsidRPr="00987F99">
        <w:rPr>
          <w:rFonts w:ascii="David" w:eastAsia="David" w:hAnsi="David"/>
          <w:b/>
          <w:bCs/>
          <w:u w:val="single"/>
          <w:rtl/>
        </w:rPr>
        <w:t xml:space="preserve"> במיטה עושה אספירציות כל הזמן, כל הזמן הוא עושה אספירציות.</w:t>
      </w:r>
      <w:r w:rsidRPr="00987F99">
        <w:rPr>
          <w:rFonts w:ascii="David" w:eastAsia="David" w:hAnsi="David"/>
          <w:b/>
          <w:bCs/>
          <w:rtl/>
        </w:rPr>
        <w:t xml:space="preserve"> יש לו (לא ברור) שמיועד </w:t>
      </w:r>
      <w:r w:rsidRPr="00987F99">
        <w:rPr>
          <w:rFonts w:ascii="David" w:eastAsia="David" w:hAnsi="David"/>
          <w:b/>
          <w:bCs/>
          <w:rtl/>
        </w:rPr>
        <w:lastRenderedPageBreak/>
        <w:t xml:space="preserve">לפינוי של הפרשות, אבל מבנה הריאות הוא כזה שהצינור שאתה מכניס לפינוי ההפרשות מגיע רק לדרכי האוויר העליונות, ויש לנו עוד 17 פיצולים קטנטנים שאין דרך להגיע אליהם בשום צורה שהיא, ואי אפשר באמת לנקות את הריאות. </w:t>
      </w:r>
      <w:r w:rsidRPr="00987F99">
        <w:rPr>
          <w:rFonts w:ascii="David" w:eastAsia="David" w:hAnsi="David"/>
          <w:b/>
          <w:bCs/>
          <w:u w:val="single"/>
          <w:rtl/>
        </w:rPr>
        <w:t>ומי שעושה אספירציות של תוכן קיבה ושל חיידקים, מועד לפתח דלקות ריאה</w:t>
      </w:r>
      <w:r w:rsidRPr="00987F99">
        <w:rPr>
          <w:rFonts w:ascii="David" w:eastAsia="David" w:hAnsi="David"/>
          <w:b/>
          <w:bCs/>
          <w:rtl/>
        </w:rPr>
        <w:t xml:space="preserve">..." </w:t>
      </w:r>
    </w:p>
    <w:p w:rsidR="00987F99" w:rsidRPr="00987F99" w:rsidRDefault="00987F99" w:rsidP="00987F99">
      <w:pPr>
        <w:spacing w:before="120" w:after="120" w:line="360" w:lineRule="auto"/>
        <w:jc w:val="both"/>
        <w:rPr>
          <w:rFonts w:ascii="David" w:eastAsia="David" w:hAnsi="David"/>
          <w:rtl/>
        </w:rPr>
      </w:pPr>
      <w:r w:rsidRPr="00987F99">
        <w:rPr>
          <w:rFonts w:ascii="David" w:eastAsia="David" w:hAnsi="David"/>
          <w:rtl/>
        </w:rPr>
        <w:t>בהמשך, המומחה הסביר על הקשר בין האספירציות לבין היווצרותה של דלקת ריאות: "</w:t>
      </w:r>
      <w:r w:rsidRPr="00987F99">
        <w:rPr>
          <w:rFonts w:ascii="David" w:eastAsia="David" w:hAnsi="David"/>
          <w:b/>
          <w:bCs/>
          <w:rtl/>
        </w:rPr>
        <w:t>מצב שבו אוכל עולה לחלל הפה, נשפך החוצה, חלקו גם נשאף לתוך הריאות ואוכל עצמו זה מוצר מלא בחיידקים, חוץ מזה תכולת קיבה מכילה חומצות בכמות גדולה והשילוב בין חומצות לבין חיידקים גורם לדלקת ריאות וזה מנגנון של אספיריישן</w:t>
      </w:r>
      <w:r w:rsidRPr="00987F99">
        <w:rPr>
          <w:rFonts w:ascii="David" w:eastAsia="David" w:hAnsi="David"/>
          <w:rtl/>
        </w:rPr>
        <w:t xml:space="preserve"> (לא ברור) </w:t>
      </w:r>
      <w:r w:rsidRPr="00987F99">
        <w:rPr>
          <w:rFonts w:ascii="David" w:eastAsia="David" w:hAnsi="David"/>
          <w:b/>
          <w:bCs/>
          <w:rtl/>
        </w:rPr>
        <w:t>מצב שבו תכולת קיבה חודרת לריאות</w:t>
      </w:r>
      <w:r w:rsidRPr="00987F99">
        <w:rPr>
          <w:rFonts w:ascii="David" w:eastAsia="David" w:hAnsi="David"/>
          <w:rtl/>
        </w:rPr>
        <w:t xml:space="preserve">." </w:t>
      </w:r>
    </w:p>
    <w:p w:rsidR="00987F99" w:rsidRPr="00987F99" w:rsidRDefault="00987F99" w:rsidP="00987F99">
      <w:pPr>
        <w:spacing w:before="120" w:after="120" w:line="360" w:lineRule="auto"/>
        <w:jc w:val="both"/>
        <w:rPr>
          <w:rFonts w:ascii="David" w:eastAsia="David" w:hAnsi="David"/>
          <w:rtl/>
        </w:rPr>
      </w:pPr>
      <w:r w:rsidRPr="00987F99">
        <w:rPr>
          <w:rFonts w:ascii="David" w:eastAsia="David" w:hAnsi="David"/>
          <w:rtl/>
        </w:rPr>
        <w:t>ובשלב הבא: "</w:t>
      </w:r>
      <w:r w:rsidRPr="00987F99">
        <w:rPr>
          <w:rFonts w:ascii="David" w:eastAsia="David" w:hAnsi="David"/>
          <w:b/>
          <w:bCs/>
          <w:rtl/>
        </w:rPr>
        <w:t>ברגע שאספירציה חודרת לתוך הריאות אז קורים תהליכים שהם סיסטמתיים. גם תגובה של הריאות למזון ולחומציות הזו בתוך הריאות, ואז הריאות הופכות להיות חולות מאוד, ויכולת החמצון שלהן נפגעת. חוץ מזה, חום הגוף עולה מאוד גבוה ואז יש תופעות של הפעלת כל המערכות הדלקתיות הסיסטמתיות של הגוף ואתה תפתח איזה שהיא תסמונת של כשל רב מערכתי</w:t>
      </w:r>
      <w:r w:rsidRPr="00987F99">
        <w:rPr>
          <w:rFonts w:ascii="David" w:eastAsia="David" w:hAnsi="David"/>
          <w:rtl/>
        </w:rPr>
        <w:t xml:space="preserve">" (עמ' 39). </w:t>
      </w:r>
      <w:r w:rsidRPr="00987F99">
        <w:rPr>
          <w:rFonts w:ascii="David" w:eastAsia="David" w:hAnsi="David"/>
          <w:b/>
          <w:bCs/>
          <w:rtl/>
        </w:rPr>
        <w:t xml:space="preserve"> </w:t>
      </w:r>
    </w:p>
    <w:p w:rsidR="00987F99" w:rsidRPr="00987F99" w:rsidRDefault="00987F99" w:rsidP="00987F99">
      <w:pPr>
        <w:spacing w:before="120" w:after="120" w:line="360" w:lineRule="auto"/>
        <w:jc w:val="both"/>
        <w:rPr>
          <w:rFonts w:ascii="David" w:eastAsia="David" w:hAnsi="David"/>
          <w:rtl/>
        </w:rPr>
      </w:pPr>
      <w:r w:rsidRPr="00987F99">
        <w:rPr>
          <w:rFonts w:ascii="David" w:eastAsia="David" w:hAnsi="David"/>
          <w:rtl/>
        </w:rPr>
        <w:t xml:space="preserve">אַחַר הסברים כלליים אלו, פרופ' מימון </w:t>
      </w:r>
      <w:r w:rsidRPr="00987F99">
        <w:rPr>
          <w:rFonts w:ascii="David" w:eastAsia="David" w:hAnsi="David"/>
          <w:u w:val="single"/>
          <w:rtl/>
        </w:rPr>
        <w:t>הסביר קונקרטית</w:t>
      </w:r>
      <w:r w:rsidRPr="00987F99">
        <w:rPr>
          <w:rFonts w:ascii="David" w:eastAsia="David" w:hAnsi="David"/>
          <w:rtl/>
        </w:rPr>
        <w:t>, כיצד חבלת הראש הקשה שנגרמה ל</w:t>
      </w:r>
      <w:r w:rsidR="008E5FF0">
        <w:rPr>
          <w:rFonts w:ascii="David" w:eastAsia="David" w:hAnsi="David"/>
          <w:rtl/>
        </w:rPr>
        <w:t>מנוח</w:t>
      </w:r>
      <w:r w:rsidRPr="00987F99">
        <w:rPr>
          <w:rFonts w:ascii="David" w:eastAsia="David" w:hAnsi="David"/>
          <w:rtl/>
        </w:rPr>
        <w:t xml:space="preserve"> בעקבות הירי בראשו הביאה לריבוי אספירציות, ופגעה ביכולתו לסלקן באופן יעיל: </w:t>
      </w:r>
      <w:r w:rsidRPr="00987F99">
        <w:rPr>
          <w:rFonts w:ascii="David" w:eastAsia="David" w:hAnsi="David"/>
          <w:b/>
          <w:bCs/>
          <w:rtl/>
        </w:rPr>
        <w:t>"...</w:t>
      </w:r>
      <w:r w:rsidRPr="00987F99">
        <w:rPr>
          <w:rFonts w:ascii="David" w:eastAsia="David" w:hAnsi="David"/>
          <w:b/>
          <w:bCs/>
          <w:u w:val="single"/>
          <w:rtl/>
        </w:rPr>
        <w:t xml:space="preserve">במקרה של </w:t>
      </w:r>
      <w:r w:rsidR="00CC6733">
        <w:rPr>
          <w:rFonts w:ascii="David" w:eastAsia="David" w:hAnsi="David"/>
          <w:b/>
          <w:bCs/>
          <w:u w:val="single"/>
          <w:rtl/>
        </w:rPr>
        <w:t>[ת.מ]</w:t>
      </w:r>
      <w:r w:rsidRPr="00987F99">
        <w:rPr>
          <w:rFonts w:ascii="David" w:eastAsia="David" w:hAnsi="David"/>
          <w:b/>
          <w:bCs/>
          <w:u w:val="single"/>
          <w:rtl/>
        </w:rPr>
        <w:t xml:space="preserve"> הוא נפצע בראשו ולכן לא ניתן היה לשלוט בדרכי האוויר, לא יכול היה לשלוט באופן עצמוני בדרכי האוויר העליונות</w:t>
      </w:r>
      <w:r w:rsidRPr="00987F99">
        <w:rPr>
          <w:rFonts w:ascii="David" w:eastAsia="David" w:hAnsi="David"/>
          <w:b/>
          <w:bCs/>
          <w:rtl/>
        </w:rPr>
        <w:t xml:space="preserve">, </w:t>
      </w:r>
      <w:r w:rsidRPr="00987F99">
        <w:rPr>
          <w:rFonts w:ascii="David" w:eastAsia="David" w:hAnsi="David"/>
          <w:b/>
          <w:bCs/>
          <w:u w:val="single"/>
          <w:rtl/>
        </w:rPr>
        <w:t>ולכן אתה פותח פתח לקנה ישיר על מנת שתוכל בעצמך באופן אקטיבי לנקות את ההפרשות</w:t>
      </w:r>
      <w:r w:rsidRPr="00987F99">
        <w:rPr>
          <w:rFonts w:ascii="David" w:eastAsia="David" w:hAnsi="David"/>
          <w:b/>
          <w:bCs/>
          <w:rtl/>
        </w:rPr>
        <w:t xml:space="preserve">... ומי שלא עושה את זה בצורה עצמאית, יכול להיחנק מההפרשות של עצמו...מי שיש לו </w:t>
      </w:r>
      <w:r w:rsidRPr="00987F99">
        <w:rPr>
          <w:rFonts w:ascii="David" w:eastAsia="David" w:hAnsi="David"/>
          <w:rtl/>
        </w:rPr>
        <w:t xml:space="preserve">(לא ברור) </w:t>
      </w:r>
      <w:r w:rsidRPr="00987F99">
        <w:rPr>
          <w:rFonts w:ascii="David" w:eastAsia="David" w:hAnsi="David"/>
          <w:b/>
          <w:bCs/>
          <w:rtl/>
        </w:rPr>
        <w:t>לא מסוגל לדבר, מכניסים לו צינורות כל הזמן וזה כואב מאוד על מנת לנקות את ההפרשות, וזה מהלך חייו במשך השנים האחרונות, מאז שהוא נפצע בראשו עד מותו ב-2020</w:t>
      </w:r>
      <w:r w:rsidRPr="00987F99">
        <w:rPr>
          <w:rFonts w:ascii="David" w:eastAsia="David" w:hAnsi="David"/>
          <w:rtl/>
        </w:rPr>
        <w:t xml:space="preserve">" (עמ' 36).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שרשרת אירועים דומה ובעלת קשר סיבתי עובדתי התרחשה גם באשפוז האחרון של </w:t>
      </w:r>
      <w:r w:rsidR="008E5FF0">
        <w:rPr>
          <w:rFonts w:ascii="David" w:eastAsia="Calibri" w:hAnsi="David"/>
          <w:rtl/>
        </w:rPr>
        <w:t>המנוח</w:t>
      </w:r>
      <w:r w:rsidRPr="00987F99">
        <w:rPr>
          <w:rFonts w:ascii="David" w:eastAsia="Calibri" w:hAnsi="David"/>
          <w:rtl/>
        </w:rPr>
        <w:t xml:space="preserve"> במהלכו הוא נפטר. לדברי פרופ' מימון הוא ראה במו עיניו כיצד </w:t>
      </w:r>
      <w:r w:rsidR="008E5FF0">
        <w:rPr>
          <w:rFonts w:ascii="David" w:eastAsia="Calibri" w:hAnsi="David"/>
          <w:rtl/>
        </w:rPr>
        <w:t>המנוח</w:t>
      </w:r>
      <w:r w:rsidRPr="00987F99">
        <w:rPr>
          <w:rFonts w:ascii="David" w:eastAsia="Calibri" w:hAnsi="David"/>
          <w:rtl/>
        </w:rPr>
        <w:t xml:space="preserve"> פלט כמות גדולה של הפרשות ואת ההתדרדרות במצבו: "</w:t>
      </w:r>
      <w:r w:rsidRPr="00987F99">
        <w:rPr>
          <w:rFonts w:ascii="David" w:eastAsia="Calibri" w:hAnsi="David"/>
          <w:b/>
          <w:bCs/>
          <w:rtl/>
        </w:rPr>
        <w:t xml:space="preserve">באתי לביקור בוקר, נכנסתי לחדר וראיתי את </w:t>
      </w:r>
      <w:r w:rsidR="00CC6733">
        <w:rPr>
          <w:rFonts w:ascii="David" w:eastAsia="Calibri" w:hAnsi="David"/>
          <w:b/>
          <w:bCs/>
          <w:rtl/>
        </w:rPr>
        <w:t>[ת.מ]</w:t>
      </w:r>
      <w:r w:rsidRPr="00987F99">
        <w:rPr>
          <w:rFonts w:ascii="David" w:eastAsia="Calibri" w:hAnsi="David"/>
          <w:b/>
          <w:bCs/>
          <w:rtl/>
        </w:rPr>
        <w:t xml:space="preserve"> מחרחר וגדוש ומפריש מתוך דרכי, מתוך הוושת שלו כמות גדולה של הפרשות וחלה ירידה חמורה בסטורציה בזמן הזה, והבנו שהחולה נחנק מההפרשות של עצמו</w:t>
      </w:r>
      <w:r w:rsidRPr="00987F99">
        <w:rPr>
          <w:rFonts w:ascii="David" w:eastAsia="Calibri" w:hAnsi="David"/>
          <w:rtl/>
        </w:rPr>
        <w:t xml:space="preserve">" (עמ' 40). נוכח האמור, ההתדרדרות המהירה במצבו של </w:t>
      </w:r>
      <w:r w:rsidR="008E5FF0">
        <w:rPr>
          <w:rFonts w:ascii="David" w:eastAsia="Calibri" w:hAnsi="David"/>
          <w:rtl/>
        </w:rPr>
        <w:t>המנוח</w:t>
      </w:r>
      <w:r w:rsidRPr="00987F99">
        <w:rPr>
          <w:rFonts w:ascii="David" w:eastAsia="Calibri" w:hAnsi="David"/>
          <w:rtl/>
        </w:rPr>
        <w:t xml:space="preserve">, הוא הועבר לטיפול נמרץ ביום 16.2.20 ונפטר ביום 20.2.20.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פרופ' מימון לא יכול היה להסביר מדוע אותה אספירציה שהובילה למותו של </w:t>
      </w:r>
      <w:r w:rsidR="008E5FF0">
        <w:rPr>
          <w:rFonts w:ascii="David" w:eastAsia="Calibri" w:hAnsi="David"/>
          <w:rtl/>
        </w:rPr>
        <w:t>המנוח</w:t>
      </w:r>
      <w:r w:rsidRPr="00987F99">
        <w:rPr>
          <w:rFonts w:ascii="David" w:eastAsia="Calibri" w:hAnsi="David"/>
          <w:rtl/>
        </w:rPr>
        <w:t xml:space="preserve"> התרחשה במועד שהתרחשה ולא במועד אחר (מוקדם או מאוחר יותר). אף שכך, הלה הסביר כי השתלשלות האירועים שהובילה למותו של </w:t>
      </w:r>
      <w:r w:rsidR="008E5FF0">
        <w:rPr>
          <w:rFonts w:ascii="David" w:eastAsia="Calibri" w:hAnsi="David"/>
          <w:rtl/>
        </w:rPr>
        <w:t>המנוח</w:t>
      </w:r>
      <w:r w:rsidRPr="00987F99">
        <w:rPr>
          <w:rFonts w:ascii="David" w:eastAsia="Calibri" w:hAnsi="David"/>
          <w:rtl/>
        </w:rPr>
        <w:t xml:space="preserve"> היא זו שבהסתברות גבוהה הייתה מובילה למותו ולאלה שכמותו: "</w:t>
      </w:r>
      <w:r w:rsidRPr="00987F99">
        <w:rPr>
          <w:rFonts w:ascii="David" w:eastAsia="Calibri" w:hAnsi="David"/>
          <w:b/>
          <w:bCs/>
          <w:rtl/>
        </w:rPr>
        <w:t>...אז הפעם הכמות הייתה גדולה יותר מהכמות שקרתה בשנים שקדמו לכך</w:t>
      </w:r>
      <w:r w:rsidRPr="00987F99">
        <w:rPr>
          <w:rFonts w:ascii="David" w:eastAsia="Calibri" w:hAnsi="David"/>
          <w:rtl/>
        </w:rPr>
        <w:t xml:space="preserve"> (אספירציה של מזון, ד.ב.ט) </w:t>
      </w:r>
      <w:r w:rsidRPr="00987F99">
        <w:rPr>
          <w:rFonts w:ascii="David" w:eastAsia="Calibri" w:hAnsi="David"/>
          <w:b/>
          <w:bCs/>
          <w:rtl/>
        </w:rPr>
        <w:lastRenderedPageBreak/>
        <w:t xml:space="preserve">למה זה קרה באותו יום? אני לא יכול לדעת, אבל מראש אפשר להגיד כמומחה ריאות אני אומר את זה כמומחה רפואה פנימית כי מי שנמצא במצב של </w:t>
      </w:r>
      <w:r w:rsidR="00CC6733">
        <w:rPr>
          <w:rFonts w:ascii="David" w:eastAsia="Calibri" w:hAnsi="David"/>
          <w:b/>
          <w:bCs/>
          <w:rtl/>
        </w:rPr>
        <w:t>[ת.מ]</w:t>
      </w:r>
      <w:r w:rsidRPr="00987F99">
        <w:rPr>
          <w:rFonts w:ascii="David" w:eastAsia="Calibri" w:hAnsi="David"/>
          <w:b/>
          <w:bCs/>
          <w:rtl/>
        </w:rPr>
        <w:t>, מותו יגרם בסופו של דבר בסבירות גבוהה כתוצאה מאספירציה [...] זה קורה בדרך כלל באנשים פגועים מוחית, אנשים עם פיגור שכלי ששוכבים במוסדות</w:t>
      </w:r>
      <w:r w:rsidRPr="00987F99">
        <w:rPr>
          <w:rFonts w:ascii="David" w:eastAsia="Calibri" w:hAnsi="David"/>
          <w:rtl/>
        </w:rPr>
        <w:t>" (עמ' 37).</w:t>
      </w:r>
      <w:r w:rsidRPr="00987F99">
        <w:rPr>
          <w:rFonts w:ascii="Calibri" w:eastAsia="Calibri" w:hAnsi="Calibri" w:cs="Arial"/>
          <w:sz w:val="22"/>
          <w:szCs w:val="22"/>
          <w:rtl/>
        </w:rPr>
        <w:t xml:space="preserve"> </w:t>
      </w:r>
      <w:r w:rsidRPr="00987F99">
        <w:rPr>
          <w:rFonts w:ascii="David" w:eastAsia="Calibri" w:hAnsi="David"/>
          <w:rtl/>
        </w:rPr>
        <w:t>לדברי פרופ' מימון לא  ניתן לשלול שהאספירציה מיום 14.2.20 נגרמה בשל פרכוס שנוצר בשל כך שלא קיבל תרופה נגד פרכוס (עמ' 43-42). יצוין כי לדברי פרופ' מימון, פגיעת הראש מלכתחילה הביאה לכך ש</w:t>
      </w:r>
      <w:r w:rsidR="008E5FF0">
        <w:rPr>
          <w:rFonts w:ascii="David" w:eastAsia="Calibri" w:hAnsi="David"/>
          <w:rtl/>
        </w:rPr>
        <w:t>המנוח</w:t>
      </w:r>
      <w:r w:rsidRPr="00987F99">
        <w:rPr>
          <w:rFonts w:ascii="David" w:eastAsia="Calibri" w:hAnsi="David"/>
          <w:rtl/>
        </w:rPr>
        <w:t xml:space="preserve"> יסבול מפרכוסים.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המומחה הסביר כי הכשל הנשימתי  - </w:t>
      </w:r>
      <w:r w:rsidRPr="00987F99">
        <w:rPr>
          <w:rFonts w:ascii="David" w:eastAsia="Calibri" w:hAnsi="David"/>
          <w:sz w:val="20"/>
          <w:szCs w:val="20"/>
        </w:rPr>
        <w:t>"ARDS"-  ACUTE RESPIRATORY DISTRESS</w:t>
      </w:r>
      <w:r w:rsidRPr="00987F99">
        <w:rPr>
          <w:rFonts w:ascii="David" w:eastAsia="Calibri" w:hAnsi="David"/>
        </w:rPr>
        <w:t xml:space="preserve"> </w:t>
      </w:r>
      <w:r w:rsidRPr="00987F99">
        <w:rPr>
          <w:rFonts w:ascii="David" w:eastAsia="Calibri" w:hAnsi="David"/>
          <w:sz w:val="20"/>
          <w:szCs w:val="20"/>
        </w:rPr>
        <w:t>SYNDROME</w:t>
      </w:r>
      <w:r w:rsidRPr="00987F99">
        <w:rPr>
          <w:rFonts w:ascii="David" w:eastAsia="Calibri" w:hAnsi="David"/>
        </w:rPr>
        <w:t xml:space="preserve"> </w:t>
      </w:r>
      <w:r w:rsidRPr="00987F99">
        <w:rPr>
          <w:rFonts w:ascii="David" w:eastAsia="Calibri" w:hAnsi="David"/>
          <w:rtl/>
        </w:rPr>
        <w:t xml:space="preserve"> </w:t>
      </w:r>
      <w:r w:rsidRPr="00987F99">
        <w:rPr>
          <w:rFonts w:ascii="David" w:eastAsia="Calibri" w:hAnsi="David" w:hint="cs"/>
          <w:rtl/>
        </w:rPr>
        <w:t xml:space="preserve"> - אינו אלא המשך ישיר של דלקת הריאות </w:t>
      </w:r>
      <w:r w:rsidRPr="00987F99">
        <w:rPr>
          <w:rFonts w:ascii="David" w:eastAsia="Calibri" w:hAnsi="David"/>
        </w:rPr>
        <w:t>:</w:t>
      </w:r>
      <w:r w:rsidRPr="00987F99">
        <w:rPr>
          <w:rFonts w:ascii="David" w:eastAsia="Calibri" w:hAnsi="David"/>
          <w:rtl/>
        </w:rPr>
        <w:t xml:space="preserve"> "</w:t>
      </w:r>
      <w:r w:rsidRPr="00987F99">
        <w:rPr>
          <w:rFonts w:ascii="David" w:eastAsia="Calibri" w:hAnsi="David"/>
          <w:b/>
          <w:bCs/>
          <w:rtl/>
        </w:rPr>
        <w:t>במקרה הספציפי הזה, התהליך החל כדלקת ריאות של אספירציה והתקדם הלאה ל-</w:t>
      </w:r>
      <w:r w:rsidRPr="00987F99">
        <w:rPr>
          <w:rFonts w:ascii="David" w:eastAsia="Calibri" w:hAnsi="David"/>
          <w:b/>
          <w:bCs/>
          <w:sz w:val="20"/>
          <w:szCs w:val="20"/>
        </w:rPr>
        <w:t>ARDS</w:t>
      </w:r>
      <w:r w:rsidRPr="00987F99">
        <w:rPr>
          <w:rFonts w:ascii="David" w:eastAsia="Calibri" w:hAnsi="David"/>
          <w:b/>
          <w:bCs/>
          <w:rtl/>
        </w:rPr>
        <w:t xml:space="preserve"> </w:t>
      </w:r>
      <w:r w:rsidRPr="00987F99">
        <w:rPr>
          <w:rFonts w:ascii="David" w:eastAsia="Calibri" w:hAnsi="David" w:hint="cs"/>
          <w:b/>
          <w:bCs/>
          <w:u w:val="single"/>
          <w:rtl/>
        </w:rPr>
        <w:t xml:space="preserve">[...] צפוי לגמרי שמי שמפתח דלקת ריאות של אספירציה יפתח בהמשך </w:t>
      </w:r>
      <w:r w:rsidRPr="00987F99">
        <w:rPr>
          <w:rFonts w:ascii="David" w:eastAsia="Calibri" w:hAnsi="David"/>
          <w:b/>
          <w:bCs/>
          <w:sz w:val="20"/>
          <w:szCs w:val="20"/>
          <w:u w:val="single"/>
        </w:rPr>
        <w:t>ARDS</w:t>
      </w:r>
      <w:r w:rsidRPr="00987F99">
        <w:rPr>
          <w:rFonts w:ascii="David" w:eastAsia="Calibri" w:hAnsi="David"/>
          <w:b/>
          <w:bCs/>
          <w:u w:val="single"/>
          <w:rtl/>
        </w:rPr>
        <w:t xml:space="preserve"> שיוביל למותו</w:t>
      </w:r>
      <w:r w:rsidRPr="00987F99">
        <w:rPr>
          <w:rFonts w:ascii="David" w:eastAsia="Calibri" w:hAnsi="David"/>
          <w:rtl/>
        </w:rPr>
        <w:t>" (עמ' 45).</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ובהמשך </w:t>
      </w:r>
      <w:r w:rsidRPr="00987F99">
        <w:rPr>
          <w:rFonts w:ascii="David" w:eastAsia="Calibri" w:hAnsi="David"/>
          <w:b/>
          <w:bCs/>
          <w:rtl/>
        </w:rPr>
        <w:t xml:space="preserve">: "זה מה שאני ראיתי ובסופו של דבר </w:t>
      </w:r>
      <w:r w:rsidRPr="00987F99">
        <w:rPr>
          <w:rFonts w:ascii="David" w:eastAsia="Calibri" w:hAnsi="David"/>
          <w:b/>
          <w:bCs/>
          <w:sz w:val="20"/>
          <w:szCs w:val="20"/>
        </w:rPr>
        <w:t>ARDS</w:t>
      </w:r>
      <w:r w:rsidRPr="00987F99">
        <w:rPr>
          <w:rFonts w:ascii="David" w:eastAsia="Calibri" w:hAnsi="David"/>
          <w:b/>
          <w:bCs/>
          <w:rtl/>
        </w:rPr>
        <w:t xml:space="preserve"> שהוא פיתח היה משני לאספירציה, זה לא ישנה את חוות דעתי. </w:t>
      </w:r>
      <w:r w:rsidRPr="00987F99">
        <w:rPr>
          <w:rFonts w:ascii="David" w:eastAsia="Calibri" w:hAnsi="David"/>
          <w:b/>
          <w:bCs/>
          <w:u w:val="single"/>
          <w:rtl/>
        </w:rPr>
        <w:t>אני קובע בוודאות, כי זה היה מול עיני</w:t>
      </w:r>
      <w:r w:rsidRPr="00987F99">
        <w:rPr>
          <w:rFonts w:ascii="David" w:eastAsia="Calibri" w:hAnsi="David"/>
          <w:b/>
          <w:bCs/>
          <w:rtl/>
        </w:rPr>
        <w:t xml:space="preserve">, </w:t>
      </w:r>
      <w:r w:rsidRPr="00987F99">
        <w:rPr>
          <w:rFonts w:ascii="David" w:eastAsia="Calibri" w:hAnsi="David"/>
          <w:b/>
          <w:bCs/>
          <w:u w:val="single"/>
          <w:rtl/>
        </w:rPr>
        <w:t>מותו נבע כתוצאה מאספירציה, זו הסיבה שהוא הגיע לבית החולים, זו הסיבה שהוא הועבר לטיפול נמרץ [...] הערכתי המקצועית היא שהוא מת כתוצאה מאספירציה, גם אחרי שראיתי את מכתב ההעברה מטיפול נמרץ."</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פרופ' מימון </w:t>
      </w:r>
      <w:r w:rsidRPr="00987F99">
        <w:rPr>
          <w:rFonts w:ascii="David" w:eastAsia="Calibri" w:hAnsi="David"/>
          <w:u w:val="single"/>
          <w:rtl/>
        </w:rPr>
        <w:t>שלל נחרצות תרחישים חלופיים</w:t>
      </w:r>
      <w:r w:rsidRPr="00987F99">
        <w:rPr>
          <w:rFonts w:ascii="David" w:eastAsia="Calibri" w:hAnsi="David"/>
          <w:rtl/>
        </w:rPr>
        <w:t xml:space="preserve"> והסביר כי זהו מהלך קליני ברור שעולה בקנה אחד עם ניסיונו רב השנים: </w:t>
      </w:r>
      <w:r w:rsidRPr="00987F99">
        <w:rPr>
          <w:rFonts w:ascii="David" w:eastAsia="Calibri" w:hAnsi="David"/>
          <w:b/>
          <w:bCs/>
          <w:rtl/>
        </w:rPr>
        <w:t xml:space="preserve">"המהלך הקליני היה חד משמעי עוד פעם, אתה תמיד יכול להגיד אולי הוא חטף התקף לב, אולי הוא חטף תסחיף, יש אלף דברים שיכולים לקרות ברפואה והם נדירים מאוד </w:t>
      </w:r>
      <w:r w:rsidRPr="00987F99">
        <w:rPr>
          <w:rFonts w:ascii="David" w:eastAsia="Calibri" w:hAnsi="David"/>
          <w:b/>
          <w:bCs/>
          <w:u w:val="single"/>
          <w:rtl/>
        </w:rPr>
        <w:t xml:space="preserve">המקרה הספציפי זה חולה שהגיע עם אספירציה הועבר לטיפול נמרץ עם אספירציה פיתח </w:t>
      </w:r>
      <w:r w:rsidRPr="00987F99">
        <w:rPr>
          <w:rFonts w:ascii="David" w:eastAsia="Calibri" w:hAnsi="David"/>
          <w:b/>
          <w:bCs/>
          <w:sz w:val="20"/>
          <w:szCs w:val="20"/>
          <w:u w:val="single"/>
        </w:rPr>
        <w:t>ARDS</w:t>
      </w:r>
      <w:r w:rsidRPr="00987F99">
        <w:rPr>
          <w:rFonts w:ascii="David" w:eastAsia="Calibri" w:hAnsi="David"/>
          <w:b/>
          <w:bCs/>
          <w:u w:val="single"/>
          <w:rtl/>
        </w:rPr>
        <w:t xml:space="preserve"> צפוי ובסופו של דבר נפטר. עוד לפני,</w:t>
      </w:r>
      <w:r w:rsidRPr="00987F99">
        <w:rPr>
          <w:rFonts w:ascii="David" w:eastAsia="Calibri" w:hAnsi="David"/>
          <w:b/>
          <w:bCs/>
          <w:rtl/>
        </w:rPr>
        <w:t xml:space="preserve"> </w:t>
      </w:r>
      <w:r w:rsidRPr="00987F99">
        <w:rPr>
          <w:rFonts w:ascii="David" w:eastAsia="Calibri" w:hAnsi="David"/>
          <w:b/>
          <w:bCs/>
          <w:u w:val="single"/>
          <w:rtl/>
        </w:rPr>
        <w:t>עוד לפני האירוע הזה אם היית שואלת אותי על חולה כזה ממה הוא הולך למות, הוא הולך למות מאספירציה. זה הסיפור הקליני הכי שכיח</w:t>
      </w:r>
      <w:r w:rsidRPr="00987F99">
        <w:rPr>
          <w:rFonts w:ascii="David" w:eastAsia="Calibri" w:hAnsi="David"/>
          <w:rtl/>
        </w:rPr>
        <w:t>" (עמ' 54).</w:t>
      </w:r>
    </w:p>
    <w:p w:rsidR="00987F99" w:rsidRPr="00987F99" w:rsidRDefault="00987F99" w:rsidP="008E5FF0">
      <w:pPr>
        <w:spacing w:before="120" w:after="120" w:line="360" w:lineRule="auto"/>
        <w:jc w:val="both"/>
        <w:rPr>
          <w:rFonts w:ascii="David" w:eastAsia="Calibri" w:hAnsi="David"/>
          <w:rtl/>
        </w:rPr>
      </w:pPr>
      <w:r w:rsidRPr="00987F99">
        <w:rPr>
          <w:rFonts w:ascii="David" w:eastAsia="Calibri" w:hAnsi="David"/>
          <w:rtl/>
        </w:rPr>
        <w:t xml:space="preserve"> הנה כי כן, הונחה לפנינו תשתית ראייתית ברורה בדבר קשר </w:t>
      </w:r>
      <w:r w:rsidR="00CC6733">
        <w:rPr>
          <w:rFonts w:ascii="David" w:eastAsia="Calibri" w:hAnsi="David"/>
          <w:rtl/>
        </w:rPr>
        <w:t xml:space="preserve">סיבתי עובדתי בין הירי של הנאשם </w:t>
      </w:r>
      <w:r w:rsidR="00CC6733">
        <w:rPr>
          <w:rFonts w:ascii="David" w:eastAsia="Calibri" w:hAnsi="David" w:hint="cs"/>
          <w:rtl/>
        </w:rPr>
        <w:t>ב</w:t>
      </w:r>
      <w:r w:rsidR="008E5FF0">
        <w:rPr>
          <w:rFonts w:ascii="David" w:eastAsia="Calibri" w:hAnsi="David"/>
          <w:rtl/>
        </w:rPr>
        <w:t>מנוח</w:t>
      </w:r>
      <w:r w:rsidRPr="00987F99">
        <w:rPr>
          <w:rFonts w:ascii="David" w:eastAsia="Calibri" w:hAnsi="David"/>
          <w:rtl/>
        </w:rPr>
        <w:t xml:space="preserve"> לבין מותו.</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 לא זו בלבד, מתוך האמור נלמד כי הקשר הסיבתי העובדתי נובע מכמה גורמים, </w:t>
      </w:r>
      <w:r w:rsidRPr="00987F99">
        <w:rPr>
          <w:rFonts w:ascii="David" w:eastAsia="Calibri" w:hAnsi="David"/>
          <w:u w:val="single"/>
          <w:rtl/>
        </w:rPr>
        <w:t>ביחד ולחוד</w:t>
      </w:r>
      <w:r w:rsidRPr="00987F99">
        <w:rPr>
          <w:rFonts w:ascii="David" w:eastAsia="Calibri" w:hAnsi="David"/>
          <w:rtl/>
        </w:rPr>
        <w:t>, כולם בעטיה של הפציעה הקשה לה גרם הנאשם במעשיו. ונסביר: די בכך שפגיעת הראש הביאה לכך ש</w:t>
      </w:r>
      <w:r w:rsidR="008E5FF0">
        <w:rPr>
          <w:rFonts w:ascii="David" w:eastAsia="Calibri" w:hAnsi="David"/>
          <w:rtl/>
        </w:rPr>
        <w:t>המנוח</w:t>
      </w:r>
      <w:r w:rsidRPr="00987F99">
        <w:rPr>
          <w:rFonts w:ascii="David" w:eastAsia="Calibri" w:hAnsi="David"/>
          <w:rtl/>
        </w:rPr>
        <w:t xml:space="preserve"> חרף גילו הצעיר, יסבול מאספירציות תכופות בשל הפרכוסים והשכיבה הממושכת – ללא קשר לשאלת יכולתו לסלקן - לצורך </w:t>
      </w:r>
      <w:r w:rsidRPr="008E5FF0">
        <w:rPr>
          <w:rFonts w:ascii="David" w:eastAsia="Calibri" w:hAnsi="David"/>
          <w:rtl/>
        </w:rPr>
        <w:t>הוכחת</w:t>
      </w:r>
      <w:r w:rsidRPr="00987F99">
        <w:rPr>
          <w:rFonts w:ascii="David" w:eastAsia="Calibri" w:hAnsi="David"/>
          <w:rtl/>
        </w:rPr>
        <w:t xml:space="preserve"> קיומו של קשר סיבתי. בדומה, די בכך ש</w:t>
      </w:r>
      <w:r w:rsidR="008E5FF0">
        <w:rPr>
          <w:rFonts w:ascii="David" w:eastAsia="Calibri" w:hAnsi="David"/>
          <w:rtl/>
        </w:rPr>
        <w:t>המנוח</w:t>
      </w:r>
      <w:r w:rsidRPr="00987F99">
        <w:rPr>
          <w:rFonts w:ascii="David" w:eastAsia="Calibri" w:hAnsi="David"/>
          <w:rtl/>
        </w:rPr>
        <w:t xml:space="preserve"> אינו מסוגל לסלק באופן יעיל אספירציות מדרכי הנשימה שלו בשל פגיעת הראש– אפילו סבל מאספירציות בודדות שאינן קשורות לפגיעת הראש  - לצורך הוכחת קיומו של קשר סיבתי עובדתי. </w:t>
      </w:r>
    </w:p>
    <w:p w:rsidR="00987F99" w:rsidRPr="00987F99" w:rsidRDefault="00987F99" w:rsidP="00987F99">
      <w:pPr>
        <w:spacing w:after="160" w:line="360" w:lineRule="auto"/>
        <w:jc w:val="both"/>
        <w:rPr>
          <w:rFonts w:ascii="David" w:eastAsia="Calibri" w:hAnsi="David"/>
          <w:rtl/>
        </w:rPr>
      </w:pPr>
      <w:r w:rsidRPr="00987F99">
        <w:rPr>
          <w:rFonts w:ascii="David" w:eastAsia="Calibri" w:hAnsi="David"/>
          <w:rtl/>
        </w:rPr>
        <w:t xml:space="preserve">הדברים הם בבחינת קל וחומר מקום בו הירי בראשו של </w:t>
      </w:r>
      <w:r w:rsidR="008E5FF0">
        <w:rPr>
          <w:rFonts w:ascii="David" w:eastAsia="Calibri" w:hAnsi="David"/>
          <w:rtl/>
        </w:rPr>
        <w:t>המנוח</w:t>
      </w:r>
      <w:r w:rsidRPr="00987F99">
        <w:rPr>
          <w:rFonts w:ascii="David" w:eastAsia="Calibri" w:hAnsi="David"/>
          <w:rtl/>
        </w:rPr>
        <w:t xml:space="preserve"> הביא הן לאספירציות מוגברות (יצירת סיכון מוגבר) ובה בעת נטרל את המנגנון הטבעי של הגוף להתמודד עמן (החלשת מנגנוני ההגנה). </w:t>
      </w:r>
    </w:p>
    <w:p w:rsidR="00A41D2A" w:rsidRDefault="00A41D2A" w:rsidP="00987F99">
      <w:pPr>
        <w:spacing w:before="120" w:after="120" w:line="360" w:lineRule="auto"/>
        <w:jc w:val="both"/>
        <w:rPr>
          <w:rFonts w:ascii="David" w:eastAsia="Calibri" w:hAnsi="David"/>
          <w:b/>
          <w:bCs/>
          <w:u w:val="single"/>
          <w:rtl/>
        </w:rPr>
      </w:pPr>
    </w:p>
    <w:p w:rsidR="00987F99" w:rsidRPr="00987F99" w:rsidRDefault="00987F99" w:rsidP="00987F99">
      <w:pPr>
        <w:spacing w:before="120" w:after="120" w:line="360" w:lineRule="auto"/>
        <w:jc w:val="both"/>
        <w:rPr>
          <w:rFonts w:ascii="David" w:eastAsia="Calibri" w:hAnsi="David"/>
          <w:b/>
          <w:bCs/>
          <w:u w:val="single"/>
          <w:rtl/>
        </w:rPr>
      </w:pPr>
      <w:r w:rsidRPr="00987F99">
        <w:rPr>
          <w:rFonts w:ascii="David" w:eastAsia="Calibri" w:hAnsi="David"/>
          <w:b/>
          <w:bCs/>
          <w:u w:val="single"/>
          <w:rtl/>
        </w:rPr>
        <w:lastRenderedPageBreak/>
        <w:t>הערכת עדותו של פרופ' מימון:</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אנו מקבלים את חוות דעתו של פרופ' מימון, ומעניקים לה את מלוא המשקל. אנו מוצאים את חוות הדעת משכנעת, הגיונית, מבוססת כדבעי, כזו שנמצאת בהלימה לתיעוד הרפואי, מבחני הגיון ושכל ישר כמו גם עם ראיות נוספות בתיק. התרשמנו מידענותו, מהימנותו ויושרתו המקצועיים לצד ניסיונו רב השנים. ובמה דברים אמורים.</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את עדותו של העד המומחה יש לבחון בשני מישורים: האחד, מישור המהימנות האישית במסגרתו נבחנת מהימנותו ככל עד אחר, והשני, מישור האמינות המקצועית במסגרתו נבחנת רמתו המקצועית, טיב ואופי התהליכים והבדיקות שערך שבסופם הגיע למסקנותיו:</w:t>
      </w:r>
    </w:p>
    <w:p w:rsidR="00987F99" w:rsidRPr="00987F99" w:rsidRDefault="00987F99" w:rsidP="00987F99">
      <w:pPr>
        <w:spacing w:before="120" w:after="120"/>
        <w:ind w:left="509" w:right="426"/>
        <w:jc w:val="both"/>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יוצא אפוא כי לצורך הערכת משקלה של עדות מומחה, כל שכן לצורך הכרעה בין חוות דעת סותרות, יש לשקול ערב רב של שיקולים. ניתן לחלק את השיקולים לשתי קטיגוריות עיקריות: האחת, עניינה בשיקולים אשר נועדו לבחון את </w:t>
      </w:r>
      <w:r w:rsidRPr="00987F99">
        <w:rPr>
          <w:rFonts w:ascii="David" w:eastAsia="Calibri" w:hAnsi="David"/>
          <w:b/>
          <w:bCs/>
          <w:u w:val="single"/>
          <w:rtl/>
        </w:rPr>
        <w:t>מומחיותו של העד המומחה</w:t>
      </w:r>
      <w:r w:rsidRPr="00987F99">
        <w:rPr>
          <w:rFonts w:ascii="David" w:eastAsia="Calibri" w:hAnsi="David"/>
          <w:b/>
          <w:bCs/>
          <w:rtl/>
        </w:rPr>
        <w:t xml:space="preserve">; השנייה, עניינה </w:t>
      </w:r>
      <w:r w:rsidRPr="00987F99">
        <w:rPr>
          <w:rFonts w:ascii="David" w:eastAsia="Calibri" w:hAnsi="David"/>
          <w:b/>
          <w:bCs/>
          <w:u w:val="single"/>
          <w:rtl/>
        </w:rPr>
        <w:t>באמינותה, במהימנותה וברצינותה של חוות הדעת</w:t>
      </w:r>
      <w:r w:rsidRPr="00987F99">
        <w:rPr>
          <w:rFonts w:ascii="David" w:eastAsia="Calibri" w:hAnsi="David"/>
          <w:b/>
          <w:bCs/>
          <w:rtl/>
        </w:rPr>
        <w:t xml:space="preserve">. </w:t>
      </w:r>
    </w:p>
    <w:p w:rsidR="00987F99" w:rsidRPr="00987F99" w:rsidRDefault="00987F99" w:rsidP="00987F99">
      <w:pPr>
        <w:spacing w:before="120" w:after="120"/>
        <w:ind w:left="509" w:right="426"/>
        <w:jc w:val="both"/>
        <w:rPr>
          <w:rFonts w:ascii="David" w:eastAsia="Calibri" w:hAnsi="David"/>
          <w:b/>
          <w:bCs/>
          <w:rtl/>
        </w:rPr>
      </w:pPr>
      <w:r w:rsidRPr="00987F99">
        <w:rPr>
          <w:rFonts w:ascii="David" w:eastAsia="Calibri" w:hAnsi="David"/>
          <w:b/>
          <w:bCs/>
          <w:rtl/>
        </w:rPr>
        <w:t>בקטגוריה הראשונה יימנו השיקולים הבאים: הכשרתו המקצועית של העד המומחה ומעמדו המקצועי; ניסיונו המעשי; מידת הרלוונטיות של תחום התמחותו לעניין הנדון; טיב היכרותו של המומחה עם הממצאים הקונקרטיים; מידת היכרותו עם הספרות הרלוונטית בתחום; מעורבותו של העד המומחה במחקר בתחום; וכיו"ב. בקטגוריה השנייה יש לבחון את השיקולים הבאים: התשתית העובדתית שביסוד חוות הדעת; הלימה בין חוות הדעת לבין המארג הראייתי ומידת ההתאמה של מסקנות חוות הדעת למכלול הממצאים; אמינותה של הספרות המקצועית שעליה נשענת חוות הדעת; מידת ההתאמה של מסקנות חוות הדעת לספרות הרלוונטית בתחום; התמודדות חוות הדעת עם גישות מקצועיות מתחרות ועם תרחישים חריגים; איזון בחוות הדעת; וכיו"ב</w:t>
      </w:r>
      <w:r w:rsidRPr="00987F99">
        <w:rPr>
          <w:rFonts w:ascii="David" w:eastAsia="Calibri" w:hAnsi="David"/>
          <w:rtl/>
        </w:rPr>
        <w:t xml:space="preserve"> ( יניב ואקי, "דיני ראיות", כרך ב', עמ' 855-856).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פרופ' מימון בעל ההשכלה והידע הרלוונטיים ביותר הנדרשים לבחינתה הסוגיה שהובאה לפתחנו. המדובר במומחה ברפואה פנימית וכן מומחה ברפואת ריאות. מומחיותו אינה רק מתוקף השכלתו האקדמאית (והיותו חבר סגל ומרצה בכיר בבית ספר לרפואה באוניברסיטת בן גוריון) אלא מבוססת גם על פרקטיקה ארוכת שנים. בהקשר לאמור, פרופ' מימון משמש כמנהל מחלקה פנימית ב' בבית החולים סורוקה מזה </w:t>
      </w:r>
      <w:r w:rsidRPr="00987F99">
        <w:rPr>
          <w:rFonts w:ascii="David" w:eastAsia="Calibri" w:hAnsi="David"/>
          <w:b/>
          <w:bCs/>
          <w:rtl/>
        </w:rPr>
        <w:t xml:space="preserve">כעשור </w:t>
      </w:r>
      <w:r w:rsidRPr="00987F99">
        <w:rPr>
          <w:rFonts w:ascii="David" w:eastAsia="Calibri" w:hAnsi="David"/>
          <w:rtl/>
        </w:rPr>
        <w:t xml:space="preserve">לצד ריכוז תחום הוראת הרפואה תקופה בת מספר שנים.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מתוקף היותו מנהל מחלקה פנימית תקופה ממושכת (המצטרפת לתקופה בה נמנה על הסגל המטפל במחלקה), פשיטא כי הוא נדרש לתת במצטבר מענה רפואי לאלפי חולים, חלק לא מבוטל מהם סובל ממחלות ריאות, מרותקים למיטה, נדרשים להזנה מלאכותית ולענייננו: חולים המתמודדים עם בעיות רפואיות דומות לאלו שאיתם </w:t>
      </w:r>
      <w:r w:rsidR="008E5FF0">
        <w:rPr>
          <w:rFonts w:ascii="David" w:eastAsia="Calibri" w:hAnsi="David"/>
          <w:rtl/>
        </w:rPr>
        <w:t>המנוח</w:t>
      </w:r>
      <w:r w:rsidRPr="00987F99">
        <w:rPr>
          <w:rFonts w:ascii="David" w:eastAsia="Calibri" w:hAnsi="David"/>
          <w:rtl/>
        </w:rPr>
        <w:t xml:space="preserve"> התמודד.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חלק ניכר מהטיפול אותו קיבל </w:t>
      </w:r>
      <w:r w:rsidR="00CC6733">
        <w:rPr>
          <w:rFonts w:ascii="David" w:eastAsia="Calibri" w:hAnsi="David"/>
          <w:rtl/>
        </w:rPr>
        <w:t>ת.מ</w:t>
      </w:r>
      <w:r w:rsidRPr="00987F99">
        <w:rPr>
          <w:rFonts w:ascii="David" w:eastAsia="Calibri" w:hAnsi="David"/>
          <w:rtl/>
        </w:rPr>
        <w:t xml:space="preserve"> במהלך התקופה שלאחר פציעתו, נעשה במסגרת מחלקה פנימית ב' אותה ניהל פרופ' מימון. פרופ' מימון היה זה שבמישרין ובעקיפין עקב אחר מצבו של </w:t>
      </w:r>
      <w:r w:rsidR="00CC6733">
        <w:rPr>
          <w:rFonts w:ascii="David" w:eastAsia="Calibri" w:hAnsi="David"/>
          <w:rtl/>
        </w:rPr>
        <w:t>ת.מ</w:t>
      </w:r>
      <w:r w:rsidRPr="00987F99">
        <w:rPr>
          <w:rFonts w:ascii="David" w:eastAsia="Calibri" w:hAnsi="David"/>
          <w:rtl/>
        </w:rPr>
        <w:t xml:space="preserve"> ודאג למענה הרפואי הנדרש. כך היה גם באשפוזו האחרון של </w:t>
      </w:r>
      <w:r w:rsidR="00CC6733">
        <w:rPr>
          <w:rFonts w:ascii="David" w:eastAsia="Calibri" w:hAnsi="David"/>
          <w:rtl/>
        </w:rPr>
        <w:t>ת.מ</w:t>
      </w:r>
      <w:r w:rsidRPr="00987F99">
        <w:rPr>
          <w:rFonts w:ascii="David" w:eastAsia="Calibri" w:hAnsi="David"/>
          <w:rtl/>
        </w:rPr>
        <w:t xml:space="preserve"> במהלכו נפטר.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lastRenderedPageBreak/>
        <w:t xml:space="preserve">יתרה מכך, פרופ' מימון היה עד ראייה לאותה אספירציה שהחלה שרשרת תהליכים בסופה </w:t>
      </w:r>
      <w:r w:rsidR="00CC6733">
        <w:rPr>
          <w:rFonts w:ascii="David" w:eastAsia="Calibri" w:hAnsi="David"/>
          <w:rtl/>
        </w:rPr>
        <w:t>ת.מ</w:t>
      </w:r>
      <w:r w:rsidRPr="00987F99">
        <w:rPr>
          <w:rFonts w:ascii="David" w:eastAsia="Calibri" w:hAnsi="David"/>
          <w:rtl/>
        </w:rPr>
        <w:t xml:space="preserve"> נפטר: "</w:t>
      </w:r>
      <w:r w:rsidRPr="00987F99">
        <w:rPr>
          <w:rFonts w:ascii="David" w:eastAsia="Calibri" w:hAnsi="David"/>
          <w:b/>
          <w:bCs/>
          <w:rtl/>
        </w:rPr>
        <w:t xml:space="preserve">... באתי לביקור בוקר, נכנסתי לחדר </w:t>
      </w:r>
      <w:r w:rsidRPr="00987F99">
        <w:rPr>
          <w:rFonts w:ascii="David" w:eastAsia="Calibri" w:hAnsi="David"/>
          <w:b/>
          <w:bCs/>
          <w:u w:val="single"/>
          <w:rtl/>
        </w:rPr>
        <w:t xml:space="preserve">וראיתי את </w:t>
      </w:r>
      <w:r w:rsidR="00CC6733" w:rsidRPr="008E5FF0">
        <w:rPr>
          <w:rFonts w:ascii="David" w:eastAsia="Calibri" w:hAnsi="David"/>
          <w:u w:val="single"/>
          <w:rtl/>
        </w:rPr>
        <w:t>[ת.מ]</w:t>
      </w:r>
      <w:r w:rsidRPr="00987F99">
        <w:rPr>
          <w:rFonts w:ascii="David" w:eastAsia="Calibri" w:hAnsi="David"/>
          <w:b/>
          <w:bCs/>
          <w:u w:val="single"/>
          <w:rtl/>
        </w:rPr>
        <w:t xml:space="preserve"> מחרחר וגדוש ומפריש מתוך דרכי</w:t>
      </w:r>
      <w:r w:rsidRPr="00987F99">
        <w:rPr>
          <w:rFonts w:ascii="David" w:eastAsia="Calibri" w:hAnsi="David"/>
          <w:b/>
          <w:bCs/>
          <w:rtl/>
        </w:rPr>
        <w:t>, מתוך הוושט שלו כמות גדולה של הפרשות וחלה ירידה חמורה בסטורציה בזמן הזה, והבנו שהחולה נחנק מההפרשות של עצמו</w:t>
      </w:r>
      <w:r w:rsidRPr="00987F99">
        <w:rPr>
          <w:rFonts w:ascii="David" w:eastAsia="Calibri" w:hAnsi="David"/>
          <w:rtl/>
        </w:rPr>
        <w:t>";"</w:t>
      </w:r>
      <w:r w:rsidRPr="00987F99">
        <w:rPr>
          <w:rFonts w:ascii="David" w:eastAsia="Calibri" w:hAnsi="David"/>
          <w:b/>
          <w:bCs/>
          <w:rtl/>
        </w:rPr>
        <w:t xml:space="preserve"> הסיפור הקליני הוא חד משמעי ברור הוא </w:t>
      </w:r>
      <w:r w:rsidRPr="00987F99">
        <w:rPr>
          <w:rFonts w:ascii="David" w:eastAsia="Calibri" w:hAnsi="David"/>
          <w:b/>
          <w:bCs/>
          <w:u w:val="single"/>
          <w:rtl/>
        </w:rPr>
        <w:t>אפילו בוצע במקרה הייתי בחדר בזמן שהוא עשה אספירציה וראיתי את זה מול עיני איך הוא עושה את האספירציה</w:t>
      </w:r>
      <w:r w:rsidRPr="00987F99">
        <w:rPr>
          <w:rFonts w:ascii="David" w:eastAsia="Calibri" w:hAnsi="David"/>
          <w:rtl/>
        </w:rPr>
        <w:t xml:space="preserve">". במובן זה, עדותו של פרופ' מימון הנה גם בבחינת "עד רגיל" בשילוב עם עד מומחה.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בזיקה לתרחישים חלופיים שהועלו על ידי ההגנה (בכללם האפשרות לפיה </w:t>
      </w:r>
      <w:r w:rsidR="00CC6733">
        <w:rPr>
          <w:rFonts w:ascii="David" w:eastAsia="Calibri" w:hAnsi="David"/>
          <w:rtl/>
        </w:rPr>
        <w:t>ת.מ</w:t>
      </w:r>
      <w:r w:rsidRPr="00987F99">
        <w:rPr>
          <w:rFonts w:ascii="David" w:eastAsia="Calibri" w:hAnsi="David"/>
          <w:rtl/>
        </w:rPr>
        <w:t xml:space="preserve"> חלה בקורונה) נתנו דעתנו לכך שפרופ' מימון ניהל במקביל את מחלקת הקורונה באזור הנגב עם פרוץ המגיפה ושימש פרוייקטור ב-"מגן אבות" (תכנית לאומית להגנה על דיירי מוסדות הגיל השלישי מפני הקורונה,  ד.ב.ט).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שילוב הדברים מוביל למסקנה כי מומחיותו של פרופ' מימון, ניסיונו המקצועי הכללי וזיקתו לטיפול הרפואי ש</w:t>
      </w:r>
      <w:r w:rsidR="008E5FF0">
        <w:rPr>
          <w:rFonts w:ascii="David" w:eastAsia="Calibri" w:hAnsi="David"/>
          <w:rtl/>
        </w:rPr>
        <w:t>המנוח</w:t>
      </w:r>
      <w:r w:rsidRPr="00987F99">
        <w:rPr>
          <w:rFonts w:ascii="David" w:eastAsia="Calibri" w:hAnsi="David"/>
          <w:rtl/>
        </w:rPr>
        <w:t xml:space="preserve"> נדרש לו במהלך השנים, רלוונטיים ביותר להכרעה בסוגיה שבמחלוקת, כשעמדתו המקצועית מתבקשת בנסיבות העניין.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עדותו של פרופ' מימון הותירה רושם חיובי. תשובותיו היו ברורות, ישירות, חד משמעיות. פרופ' מימון לא הסתיר כי מדובר בחולה אותו מכיר אישית נוכח הטיפול רב השנים שהעניק לו במחלקתו ולמעשה, בשל אותו קשר שנוצר החליט באופן חריג לכתוב את חוות הדעת בהתנדבות. הלה ציין כי זו חוות הדעת הראשונה אותה כתב וגם האחרונה: "</w:t>
      </w:r>
      <w:r w:rsidRPr="00987F99">
        <w:rPr>
          <w:rFonts w:ascii="David" w:eastAsia="Calibri" w:hAnsi="David"/>
          <w:b/>
          <w:bCs/>
          <w:rtl/>
        </w:rPr>
        <w:t>אני לא גובה כסף, אני לא עובד ברפואה פרטית, אני עובד רק ברפואה ציבורית</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אכן, לא אחת זה דחה באופן נחרץ תזות חלופיות שהוצעו לו ואולם, הדבר לא נעשה מתוך יוהרה, אלא אך בשל כך שהתרחישים שהוצעו לו עמדו בסתירה בולטת לניסיונו והבנתו המקצועיים או הוצעו כהיפותזות ללא תשתית עובדתית מספקת (כך לדוגמא כאשר הוצעה לו האפשרות ש</w:t>
      </w:r>
      <w:r w:rsidR="008E5FF0">
        <w:rPr>
          <w:rFonts w:ascii="David" w:eastAsia="Calibri" w:hAnsi="David"/>
          <w:rtl/>
        </w:rPr>
        <w:t>המנוח</w:t>
      </w:r>
      <w:r w:rsidRPr="00987F99">
        <w:rPr>
          <w:rFonts w:ascii="David" w:eastAsia="Calibri" w:hAnsi="David"/>
          <w:rtl/>
        </w:rPr>
        <w:t xml:space="preserve"> בעצם חלה בקורונה עובר למותו).</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שרשרת התהליכים הרפואיים עליה עמד פרופ' מימון בזיקה לקשר הסיבתי הנה כזו שהיה עד לה פעמים רבות בחולים שסבלו מחבלות ראש קשות או בעניינם של מטופלים קשישים ודמנטיים או חולים סיעודיים אחרים שבשל מצבם היו במצב שכיבה רוב היום. מבחינתו שרשרת ההליכים שהובילה למותו של </w:t>
      </w:r>
      <w:r w:rsidR="008E5FF0">
        <w:rPr>
          <w:rFonts w:ascii="David" w:eastAsia="Calibri" w:hAnsi="David"/>
          <w:rtl/>
        </w:rPr>
        <w:t>המנוח</w:t>
      </w:r>
      <w:r w:rsidRPr="00987F99">
        <w:rPr>
          <w:rFonts w:ascii="David" w:eastAsia="Calibri" w:hAnsi="David"/>
          <w:rtl/>
        </w:rPr>
        <w:t xml:space="preserve"> לא רק שאינה נדירה אלא נמצאת בליבת התרחישים הצפויים מחולה הסובל מחוליים כפי אלו ש</w:t>
      </w:r>
      <w:r w:rsidR="008E5FF0">
        <w:rPr>
          <w:rFonts w:ascii="David" w:eastAsia="Calibri" w:hAnsi="David"/>
          <w:rtl/>
        </w:rPr>
        <w:t>המנוח</w:t>
      </w:r>
      <w:r w:rsidRPr="00987F99">
        <w:rPr>
          <w:rFonts w:ascii="David" w:eastAsia="Calibri" w:hAnsi="David"/>
          <w:rtl/>
        </w:rPr>
        <w:t xml:space="preserve"> סבל מהם. פרופ' מימון היה החלטי וחד משמעי בדבר מסקנותיו והדגיש כי מדובר במקרה ברור, שאינו מצריך חקר רב מידי או מומחיות רבה מידי: "</w:t>
      </w:r>
      <w:r w:rsidRPr="00987F99">
        <w:rPr>
          <w:rFonts w:ascii="David" w:eastAsia="Calibri" w:hAnsi="David"/>
          <w:b/>
          <w:bCs/>
          <w:u w:val="single"/>
          <w:rtl/>
        </w:rPr>
        <w:t>ברור לכל רופא, אפילו מתמחה או סטודנט, שיש קשר בין הדברים</w:t>
      </w:r>
      <w:r w:rsidRPr="00987F99">
        <w:rPr>
          <w:rFonts w:ascii="David" w:eastAsia="Calibri" w:hAnsi="David"/>
          <w:rtl/>
        </w:rPr>
        <w:t xml:space="preserve">" (עמ' 28); </w:t>
      </w:r>
      <w:r w:rsidRPr="00987F99">
        <w:rPr>
          <w:rFonts w:ascii="David" w:eastAsia="Calibri" w:hAnsi="David"/>
          <w:b/>
          <w:bCs/>
          <w:rtl/>
        </w:rPr>
        <w:t xml:space="preserve">"השאלה שנשאלתי </w:t>
      </w:r>
      <w:r w:rsidRPr="00987F99">
        <w:rPr>
          <w:rFonts w:ascii="David" w:eastAsia="Calibri" w:hAnsi="David"/>
          <w:b/>
          <w:bCs/>
          <w:u w:val="single"/>
          <w:rtl/>
        </w:rPr>
        <w:t>הייתה מאוד פשוטה</w:t>
      </w:r>
      <w:r w:rsidRPr="00987F99">
        <w:rPr>
          <w:rFonts w:ascii="David" w:eastAsia="Calibri" w:hAnsi="David"/>
          <w:b/>
          <w:bCs/>
          <w:rtl/>
        </w:rPr>
        <w:t>. חולה הגיע אלינו עם דלקת ריאות של אספירציה, ב</w:t>
      </w:r>
      <w:r w:rsidRPr="00987F99">
        <w:rPr>
          <w:rFonts w:ascii="David" w:eastAsia="Calibri" w:hAnsi="David"/>
          <w:b/>
          <w:bCs/>
          <w:u w:val="single"/>
          <w:rtl/>
        </w:rPr>
        <w:t>גיל 40-30 אין דלקות ריאה של אספירציות לאנשים נורמאליים</w:t>
      </w:r>
      <w:r w:rsidRPr="00987F99">
        <w:rPr>
          <w:rFonts w:ascii="David" w:eastAsia="Calibri" w:hAnsi="David"/>
          <w:b/>
          <w:bCs/>
          <w:rtl/>
        </w:rPr>
        <w:t xml:space="preserve">, </w:t>
      </w:r>
      <w:r w:rsidRPr="00987F99">
        <w:rPr>
          <w:rFonts w:ascii="David" w:eastAsia="Calibri" w:hAnsi="David"/>
          <w:b/>
          <w:bCs/>
          <w:u w:val="single"/>
          <w:rtl/>
        </w:rPr>
        <w:t>אין דבר כזה, אלא אם כן הם מאוד פגועים</w:t>
      </w:r>
      <w:r w:rsidRPr="00987F99">
        <w:rPr>
          <w:rFonts w:ascii="David" w:eastAsia="Calibri" w:hAnsi="David"/>
          <w:b/>
          <w:bCs/>
          <w:rtl/>
        </w:rPr>
        <w:t xml:space="preserve">. הדלקת ריאות של </w:t>
      </w:r>
      <w:r w:rsidRPr="00987F99">
        <w:rPr>
          <w:rFonts w:ascii="David" w:eastAsia="Calibri" w:hAnsi="David"/>
          <w:b/>
          <w:bCs/>
          <w:rtl/>
        </w:rPr>
        <w:lastRenderedPageBreak/>
        <w:t>אספירציה היא זאת שהביאה למותו</w:t>
      </w:r>
      <w:r w:rsidRPr="00987F99">
        <w:rPr>
          <w:rFonts w:ascii="David" w:eastAsia="Calibri" w:hAnsi="David"/>
          <w:rtl/>
        </w:rPr>
        <w:t>";</w:t>
      </w:r>
      <w:r w:rsidRPr="00987F99">
        <w:rPr>
          <w:rFonts w:ascii="David" w:eastAsia="Calibri" w:hAnsi="David"/>
        </w:rPr>
        <w:t xml:space="preserve"> </w:t>
      </w:r>
      <w:r w:rsidRPr="00987F99">
        <w:rPr>
          <w:rFonts w:ascii="David" w:eastAsia="Calibri" w:hAnsi="David"/>
          <w:b/>
          <w:bCs/>
          <w:rtl/>
        </w:rPr>
        <w:t>"</w:t>
      </w:r>
      <w:r w:rsidRPr="00987F99">
        <w:rPr>
          <w:rFonts w:ascii="David" w:eastAsia="Calibri" w:hAnsi="David"/>
          <w:b/>
          <w:bCs/>
          <w:u w:val="single"/>
          <w:rtl/>
        </w:rPr>
        <w:t>צפוי לגמרי</w:t>
      </w:r>
      <w:r w:rsidRPr="00987F99">
        <w:rPr>
          <w:rFonts w:ascii="David" w:eastAsia="Calibri" w:hAnsi="David"/>
          <w:b/>
          <w:bCs/>
          <w:rtl/>
        </w:rPr>
        <w:t xml:space="preserve"> שמי שמפתח דלקת ריאות של אספירציה יפתח בהמשך </w:t>
      </w:r>
      <w:r w:rsidRPr="00987F99">
        <w:rPr>
          <w:rFonts w:ascii="David" w:eastAsia="Calibri" w:hAnsi="David"/>
          <w:b/>
          <w:bCs/>
          <w:sz w:val="20"/>
          <w:szCs w:val="20"/>
        </w:rPr>
        <w:t>ARDS</w:t>
      </w:r>
      <w:r w:rsidRPr="00987F99">
        <w:rPr>
          <w:rFonts w:ascii="David" w:eastAsia="Calibri" w:hAnsi="David"/>
          <w:b/>
          <w:bCs/>
          <w:sz w:val="20"/>
          <w:szCs w:val="20"/>
          <w:rtl/>
        </w:rPr>
        <w:t xml:space="preserve"> </w:t>
      </w:r>
      <w:r w:rsidRPr="00987F99">
        <w:rPr>
          <w:rFonts w:ascii="David" w:eastAsia="Calibri" w:hAnsi="David"/>
          <w:b/>
          <w:bCs/>
          <w:rtl/>
        </w:rPr>
        <w:t>שיוביל למותו</w:t>
      </w:r>
      <w:r w:rsidRPr="00987F99">
        <w:rPr>
          <w:rFonts w:ascii="David" w:eastAsia="Calibri" w:hAnsi="David"/>
          <w:rtl/>
        </w:rPr>
        <w:t xml:space="preserve">" (עמ' 45).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אכן, העובדה כי המומחה מעיד כי מדובר במקרה ברור וחד משמעי, אינה בבחינת חיזוק לעדותו ואולם גם אמירה כללית זו של המומחה בנוגע למובהקות המקרה, לא נסתרה על ידי מומחה מטעם ההגנה או בכלל.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התיעוד הרפואי הנוגע לאשפוזיו הקודמים של </w:t>
      </w:r>
      <w:r w:rsidR="008E5FF0">
        <w:rPr>
          <w:rFonts w:ascii="David" w:eastAsia="Calibri" w:hAnsi="David"/>
          <w:rtl/>
        </w:rPr>
        <w:t>המנוח</w:t>
      </w:r>
      <w:r w:rsidRPr="00987F99">
        <w:rPr>
          <w:rFonts w:ascii="David" w:eastAsia="Calibri" w:hAnsi="David"/>
          <w:rtl/>
        </w:rPr>
        <w:t xml:space="preserve"> תומך במסקנתו של פרופ' מימון ונמצא עמה בהלימה. כפי הנלמד, ברוב אשפוזיו הקודמים של </w:t>
      </w:r>
      <w:r w:rsidR="008E5FF0">
        <w:rPr>
          <w:rFonts w:ascii="David" w:eastAsia="Calibri" w:hAnsi="David"/>
          <w:rtl/>
        </w:rPr>
        <w:t>המנוח</w:t>
      </w:r>
      <w:r w:rsidRPr="00987F99">
        <w:rPr>
          <w:rFonts w:ascii="David" w:eastAsia="Calibri" w:hAnsi="David"/>
          <w:rtl/>
        </w:rPr>
        <w:t xml:space="preserve"> הייתה מעורבת אחת מהבעיות הבאות (ביחד או לחוד) הנובעות ממצבו הסיעודי כפי שתיאר פרופ' מימון: בעיה נשימתית (אי ספיקה וסטורציה נמוכה) , פרכוסים, אספירציות, הפרשות, דלקת ריאות.</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כך ולא באופן ממצה, באשפוז מחודש 06/15 (לגביו לא הוגש תיעוד נפרד אך הוא מתואר בת/21 וכן בת/22 בפרק הדן באשפוזים קודמים) מפורט כי </w:t>
      </w:r>
      <w:r w:rsidR="00CC6733">
        <w:rPr>
          <w:rFonts w:ascii="David" w:eastAsia="Calibri" w:hAnsi="David"/>
          <w:rtl/>
        </w:rPr>
        <w:t>ת.מ</w:t>
      </w:r>
      <w:r w:rsidRPr="00987F99">
        <w:rPr>
          <w:rFonts w:ascii="David" w:eastAsia="Calibri" w:hAnsi="David"/>
          <w:rtl/>
        </w:rPr>
        <w:t xml:space="preserve"> אושפז בשל </w:t>
      </w:r>
      <w:r w:rsidRPr="00987F99">
        <w:rPr>
          <w:rFonts w:ascii="David" w:eastAsia="Calibri" w:hAnsi="David"/>
          <w:u w:val="single"/>
          <w:rtl/>
        </w:rPr>
        <w:t>מדדי דלקת מעבדתיים ואי ספיקה נשימתית</w:t>
      </w:r>
      <w:r w:rsidRPr="00987F99">
        <w:rPr>
          <w:rFonts w:ascii="David" w:eastAsia="Calibri" w:hAnsi="David"/>
          <w:rtl/>
        </w:rPr>
        <w:t xml:space="preserve"> המערבת קוצר נשימה לצד ממצא ולפיו "</w:t>
      </w:r>
      <w:r w:rsidRPr="00987F99">
        <w:rPr>
          <w:rFonts w:ascii="David" w:eastAsia="Calibri" w:hAnsi="David"/>
          <w:b/>
          <w:bCs/>
          <w:rtl/>
        </w:rPr>
        <w:t xml:space="preserve">בנוכחות קליניקה נשימתית דומיננטית, </w:t>
      </w:r>
      <w:r w:rsidRPr="00987F99">
        <w:rPr>
          <w:rFonts w:ascii="David" w:eastAsia="Calibri" w:hAnsi="David"/>
          <w:b/>
          <w:bCs/>
          <w:u w:val="single"/>
          <w:rtl/>
        </w:rPr>
        <w:t>ריבוי הפרשות</w:t>
      </w:r>
      <w:r w:rsidRPr="00987F99">
        <w:rPr>
          <w:rFonts w:ascii="David" w:eastAsia="Calibri" w:hAnsi="David"/>
          <w:b/>
          <w:bCs/>
          <w:rtl/>
        </w:rPr>
        <w:t xml:space="preserve"> והצללה חדשה </w:t>
      </w:r>
      <w:r w:rsidRPr="00987F99">
        <w:rPr>
          <w:rFonts w:ascii="David" w:eastAsia="Calibri" w:hAnsi="David"/>
          <w:b/>
          <w:bCs/>
          <w:sz w:val="20"/>
          <w:szCs w:val="20"/>
        </w:rPr>
        <w:t>RLL</w:t>
      </w:r>
      <w:r w:rsidRPr="00987F99">
        <w:rPr>
          <w:rFonts w:ascii="David" w:eastAsia="Calibri" w:hAnsi="David"/>
          <w:b/>
          <w:bCs/>
          <w:rtl/>
        </w:rPr>
        <w:t>.</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u w:val="single"/>
          <w:rtl/>
        </w:rPr>
      </w:pPr>
      <w:r w:rsidRPr="00987F99">
        <w:rPr>
          <w:rFonts w:ascii="David" w:eastAsia="Calibri" w:hAnsi="David"/>
          <w:rtl/>
        </w:rPr>
        <w:t>באשפוז מיום 09.08.15 (לגביו לא הוגש תיעוד נפרד אך הוא מתואר בת/22 בפרק הדן באשפוזים קודמים) מצוין ש</w:t>
      </w:r>
      <w:r w:rsidR="00CC6733">
        <w:rPr>
          <w:rFonts w:ascii="David" w:eastAsia="Calibri" w:hAnsi="David"/>
          <w:rtl/>
        </w:rPr>
        <w:t>ת.מ</w:t>
      </w:r>
      <w:r w:rsidRPr="00987F99">
        <w:rPr>
          <w:rFonts w:ascii="David" w:eastAsia="Calibri" w:hAnsi="David"/>
          <w:rtl/>
        </w:rPr>
        <w:t xml:space="preserve"> אושפז בשל פרכוס, ספסיס והיפותרמיה והוא </w:t>
      </w:r>
      <w:r w:rsidRPr="00987F99">
        <w:rPr>
          <w:rFonts w:ascii="David" w:eastAsia="Calibri" w:hAnsi="David"/>
          <w:u w:val="single"/>
          <w:rtl/>
        </w:rPr>
        <w:t xml:space="preserve">טופל בחשד לדלקת ריאות.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באשפוז מיום 13.08.15 (ת/21) מצוין כי </w:t>
      </w:r>
      <w:r w:rsidR="00CC6733">
        <w:rPr>
          <w:rFonts w:ascii="David" w:eastAsia="Calibri" w:hAnsi="David"/>
          <w:rtl/>
        </w:rPr>
        <w:t>ת.מ</w:t>
      </w:r>
      <w:r w:rsidRPr="00987F99">
        <w:rPr>
          <w:rFonts w:ascii="David" w:eastAsia="Calibri" w:hAnsi="David"/>
          <w:rtl/>
        </w:rPr>
        <w:t xml:space="preserve"> הופנה למיון בשל רמת חמצון נמוכה בדם כאשר בסעיף הממצאים מצוין תסנין באספקט המדיאלי של הריאה. בסעיף הסיכום מפורט: </w:t>
      </w:r>
      <w:r w:rsidRPr="00987F99">
        <w:rPr>
          <w:rFonts w:ascii="David" w:eastAsia="Calibri" w:hAnsi="David"/>
          <w:b/>
          <w:bCs/>
          <w:rtl/>
        </w:rPr>
        <w:t xml:space="preserve">"...כמקור אפשרי להתייצגותו, </w:t>
      </w:r>
      <w:r w:rsidRPr="00987F99">
        <w:rPr>
          <w:rFonts w:ascii="David" w:eastAsia="Calibri" w:hAnsi="David"/>
          <w:b/>
          <w:bCs/>
          <w:u w:val="single"/>
          <w:rtl/>
        </w:rPr>
        <w:t xml:space="preserve">שוב פנאומוניה, יתכן מאספירציה לאור ממצא הדמייתי חשוד בבסיס הימני וחירחורים מרובים </w:t>
      </w:r>
      <w:r w:rsidRPr="00987F99">
        <w:rPr>
          <w:rFonts w:ascii="David" w:eastAsia="Calibri" w:hAnsi="David"/>
          <w:b/>
          <w:bCs/>
          <w:rtl/>
        </w:rPr>
        <w:t xml:space="preserve">[...] </w:t>
      </w:r>
      <w:r w:rsidRPr="00987F99">
        <w:rPr>
          <w:rFonts w:ascii="David" w:eastAsia="Calibri" w:hAnsi="David"/>
          <w:b/>
          <w:bCs/>
          <w:u w:val="single"/>
          <w:rtl/>
        </w:rPr>
        <w:t>מקור התמונה, בדומה לפניותיו הקודמות, יוחס לאספירציה חוזרת, קושי בפינוי הפרשות עם</w:t>
      </w:r>
      <w:r w:rsidRPr="00987F99">
        <w:rPr>
          <w:rFonts w:ascii="David" w:eastAsia="Calibri" w:hAnsi="David"/>
          <w:b/>
          <w:bCs/>
          <w:u w:val="single"/>
        </w:rPr>
        <w:t xml:space="preserve">GAG REFLEX </w:t>
      </w:r>
      <w:r w:rsidRPr="00987F99">
        <w:rPr>
          <w:rFonts w:ascii="David" w:eastAsia="Calibri" w:hAnsi="David"/>
          <w:b/>
          <w:bCs/>
          <w:u w:val="single"/>
          <w:rtl/>
        </w:rPr>
        <w:t xml:space="preserve"> ירוד [...]</w:t>
      </w:r>
      <w:r w:rsidRPr="00987F99">
        <w:rPr>
          <w:rFonts w:ascii="David" w:eastAsia="Calibri" w:hAnsi="David"/>
          <w:b/>
          <w:bCs/>
          <w:rtl/>
        </w:rPr>
        <w:t xml:space="preserve"> הוחלט בדיון מחלקתי שלא להתקדם לאינטובציה וטרכאוסטומיה חוזרת – למרות מצב קוגניטיבי ירוד וקושי בפינוי הפרשות..."</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 באשפוז מחודש 09/15 (מתועד בתוך ת/22 בסעיף אשפוזים קודמים) מתואר: "</w:t>
      </w:r>
      <w:r w:rsidRPr="00987F99">
        <w:rPr>
          <w:rFonts w:ascii="David" w:eastAsia="Calibri" w:hAnsi="David"/>
          <w:b/>
          <w:bCs/>
          <w:u w:val="single"/>
          <w:rtl/>
        </w:rPr>
        <w:t>אושפז בשל החמרה נשימתית</w:t>
      </w:r>
      <w:r w:rsidRPr="00987F99">
        <w:rPr>
          <w:rFonts w:ascii="David" w:eastAsia="Calibri" w:hAnsi="David"/>
          <w:b/>
          <w:bCs/>
          <w:rtl/>
        </w:rPr>
        <w:t xml:space="preserve"> סביב </w:t>
      </w:r>
      <w:r w:rsidRPr="00987F99">
        <w:rPr>
          <w:rFonts w:ascii="David" w:eastAsia="Calibri" w:hAnsi="David"/>
          <w:b/>
          <w:bCs/>
          <w:u w:val="single"/>
          <w:rtl/>
        </w:rPr>
        <w:t>קושי בפינוי הפרשות</w:t>
      </w:r>
      <w:r w:rsidRPr="00987F99">
        <w:rPr>
          <w:rFonts w:ascii="David" w:eastAsia="Calibri" w:hAnsi="David"/>
          <w:b/>
          <w:bCs/>
          <w:rtl/>
        </w:rPr>
        <w:t>...</w:t>
      </w:r>
      <w:r w:rsidRPr="00987F99">
        <w:rPr>
          <w:rFonts w:ascii="David" w:eastAsia="Calibri" w:hAnsi="David"/>
          <w:rtl/>
        </w:rPr>
        <w:t xml:space="preserve">" .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באשפוז מיום 07.12.16 (ת/23) מצוין כי הוא נעשה בעקבות "</w:t>
      </w:r>
      <w:r w:rsidRPr="00987F99">
        <w:rPr>
          <w:rFonts w:ascii="David" w:eastAsia="Calibri" w:hAnsi="David"/>
          <w:b/>
          <w:bCs/>
          <w:rtl/>
        </w:rPr>
        <w:t xml:space="preserve">פירכוס והקאת </w:t>
      </w:r>
      <w:r w:rsidRPr="00987F99">
        <w:rPr>
          <w:rFonts w:ascii="David" w:eastAsia="Calibri" w:hAnsi="David"/>
          <w:b/>
          <w:bCs/>
          <w:sz w:val="20"/>
          <w:szCs w:val="20"/>
        </w:rPr>
        <w:t>FROUND COFFE</w:t>
      </w:r>
      <w:r w:rsidRPr="00987F99">
        <w:rPr>
          <w:rFonts w:ascii="David" w:eastAsia="Calibri" w:hAnsi="David"/>
          <w:rtl/>
        </w:rPr>
        <w:t xml:space="preserve"> ". בפרק הסיכום הרפואי מפורט: "בן 41, </w:t>
      </w:r>
      <w:r w:rsidRPr="00987F99">
        <w:rPr>
          <w:rFonts w:ascii="David" w:eastAsia="Calibri" w:hAnsi="David"/>
          <w:u w:val="single"/>
          <w:rtl/>
        </w:rPr>
        <w:t>מרותק למיטה בעקבות ירי בראשו</w:t>
      </w:r>
      <w:r w:rsidRPr="00987F99">
        <w:rPr>
          <w:rFonts w:ascii="David" w:eastAsia="Calibri" w:hAnsi="David"/>
          <w:rtl/>
        </w:rPr>
        <w:t xml:space="preserve">. כעת ירידה במצבו הבסיסי עם </w:t>
      </w:r>
      <w:r w:rsidRPr="00987F99">
        <w:rPr>
          <w:rFonts w:ascii="David" w:eastAsia="Calibri" w:hAnsi="David"/>
          <w:u w:val="single"/>
          <w:rtl/>
        </w:rPr>
        <w:t>ירידות סטורציה ומצוקה נשימתית</w:t>
      </w:r>
      <w:r w:rsidRPr="00987F99">
        <w:rPr>
          <w:rFonts w:ascii="David" w:eastAsia="Calibri" w:hAnsi="David"/>
          <w:rtl/>
        </w:rPr>
        <w:t>". ובהמשך: "...</w:t>
      </w:r>
      <w:r w:rsidRPr="00987F99">
        <w:rPr>
          <w:rFonts w:ascii="David" w:eastAsia="Calibri" w:hAnsi="David"/>
          <w:b/>
          <w:bCs/>
          <w:rtl/>
        </w:rPr>
        <w:t xml:space="preserve">פיתח היפנותרמיה אקוטית, </w:t>
      </w:r>
      <w:r w:rsidRPr="00987F99">
        <w:rPr>
          <w:rFonts w:ascii="David" w:eastAsia="Calibri" w:hAnsi="David"/>
          <w:b/>
          <w:bCs/>
          <w:u w:val="single"/>
          <w:rtl/>
        </w:rPr>
        <w:t>הופעת פרכוסים, אספירציה וכעת עם חום ודלקת ריאות</w:t>
      </w:r>
      <w:r w:rsidRPr="00987F99">
        <w:rPr>
          <w:rFonts w:ascii="David" w:eastAsia="Calibri" w:hAnsi="David"/>
          <w:u w:val="single"/>
          <w:rtl/>
        </w:rPr>
        <w:t>"</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באשפוז מיום 04.05.18 (ת/27) מפורט בפרק התלונה העיקרית: "</w:t>
      </w:r>
      <w:r w:rsidRPr="00987F99">
        <w:rPr>
          <w:rFonts w:ascii="David" w:eastAsia="Calibri" w:hAnsi="David"/>
          <w:b/>
          <w:bCs/>
          <w:rtl/>
        </w:rPr>
        <w:t xml:space="preserve">מזה 3 ימים רושם לקשיי נשימה, </w:t>
      </w:r>
      <w:r w:rsidRPr="00987F99">
        <w:rPr>
          <w:rFonts w:ascii="David" w:eastAsia="Calibri" w:hAnsi="David"/>
          <w:b/>
          <w:bCs/>
          <w:u w:val="single"/>
          <w:rtl/>
        </w:rPr>
        <w:t>חרחורים וריבוי ליחה</w:t>
      </w:r>
      <w:r w:rsidRPr="00987F99">
        <w:rPr>
          <w:rFonts w:ascii="David" w:eastAsia="Calibri" w:hAnsi="David"/>
          <w:b/>
          <w:bCs/>
          <w:rtl/>
        </w:rPr>
        <w:t xml:space="preserve">... בבדיקתו בחדר מיון – </w:t>
      </w:r>
      <w:r w:rsidRPr="00987F99">
        <w:rPr>
          <w:rFonts w:ascii="David" w:eastAsia="Calibri" w:hAnsi="David"/>
          <w:b/>
          <w:bCs/>
          <w:u w:val="single"/>
          <w:rtl/>
        </w:rPr>
        <w:t>חרחורים גסים ממקור עליון</w:t>
      </w:r>
      <w:r w:rsidRPr="00987F99">
        <w:rPr>
          <w:rFonts w:ascii="David" w:eastAsia="Calibri" w:hAnsi="David"/>
          <w:b/>
          <w:bCs/>
          <w:rtl/>
        </w:rPr>
        <w:t xml:space="preserve">, </w:t>
      </w:r>
      <w:r w:rsidRPr="00987F99">
        <w:rPr>
          <w:rFonts w:ascii="David" w:eastAsia="Calibri" w:hAnsi="David"/>
          <w:b/>
          <w:bCs/>
          <w:u w:val="single"/>
          <w:rtl/>
        </w:rPr>
        <w:t>בסקשיין יציאת הפרשות מרובות צמיגות</w:t>
      </w:r>
      <w:r w:rsidRPr="00987F99">
        <w:rPr>
          <w:rFonts w:ascii="David" w:eastAsia="Calibri" w:hAnsi="David"/>
          <w:b/>
          <w:bCs/>
          <w:rtl/>
        </w:rPr>
        <w:t>, מדדים המודינמיים וסטורציה תקינים</w:t>
      </w:r>
      <w:r w:rsidRPr="00987F99">
        <w:rPr>
          <w:rFonts w:ascii="David" w:eastAsia="Calibri" w:hAnsi="David"/>
          <w:rtl/>
        </w:rPr>
        <w:t>".</w:t>
      </w:r>
    </w:p>
    <w:p w:rsidR="00987F99" w:rsidRPr="00987F99" w:rsidRDefault="00987F99" w:rsidP="00987F99">
      <w:pPr>
        <w:spacing w:before="120" w:after="120" w:line="360" w:lineRule="auto"/>
        <w:jc w:val="both"/>
        <w:rPr>
          <w:rFonts w:ascii="David" w:eastAsia="David" w:hAnsi="David"/>
          <w:rtl/>
        </w:rPr>
      </w:pPr>
      <w:r w:rsidRPr="00987F99">
        <w:rPr>
          <w:rFonts w:ascii="David" w:eastAsia="Calibri" w:hAnsi="David"/>
          <w:rtl/>
        </w:rPr>
        <w:lastRenderedPageBreak/>
        <w:t xml:space="preserve">פרופ' מימון הסביר כי גם אם בפועל </w:t>
      </w:r>
      <w:r w:rsidR="00CC6733">
        <w:rPr>
          <w:rFonts w:ascii="David" w:eastAsia="Calibri" w:hAnsi="David"/>
          <w:rtl/>
        </w:rPr>
        <w:t>ת.מ</w:t>
      </w:r>
      <w:r w:rsidRPr="00987F99">
        <w:rPr>
          <w:rFonts w:ascii="David" w:eastAsia="Calibri" w:hAnsi="David"/>
          <w:rtl/>
        </w:rPr>
        <w:t xml:space="preserve"> לא אושפז (באופן יחסי) מספר רב  של פעמים, אין פירוש הדבר כי הוא לא סבל מאספירציות תכופות או שמצבו לא הצריך אשפוז: "</w:t>
      </w:r>
      <w:r w:rsidRPr="00987F99">
        <w:rPr>
          <w:rFonts w:ascii="David" w:eastAsia="Calibri" w:hAnsi="David"/>
          <w:b/>
          <w:bCs/>
          <w:rtl/>
        </w:rPr>
        <w:t>...סביר להניח שהוא עושה אספירציות כל הזמן</w:t>
      </w:r>
      <w:r w:rsidRPr="00987F99">
        <w:rPr>
          <w:rFonts w:ascii="David" w:eastAsia="Calibri" w:hAnsi="David"/>
          <w:rtl/>
        </w:rPr>
        <w:t>" (עמ' 34).  הלה תלה את המיעוט היחסי של האשפוזים בטיפול יוצא הדופן והמסור ש</w:t>
      </w:r>
      <w:r w:rsidR="00CC6733">
        <w:rPr>
          <w:rFonts w:ascii="David" w:eastAsia="Calibri" w:hAnsi="David"/>
          <w:rtl/>
        </w:rPr>
        <w:t>ת.מ</w:t>
      </w:r>
      <w:r w:rsidRPr="00987F99">
        <w:rPr>
          <w:rFonts w:ascii="David" w:eastAsia="Calibri" w:hAnsi="David"/>
          <w:rtl/>
        </w:rPr>
        <w:t xml:space="preserve"> קיבל בביתו על ידי אשתו והמטפל הצמוד שהיה עימו</w:t>
      </w:r>
      <w:r w:rsidRPr="00987F99">
        <w:rPr>
          <w:rFonts w:ascii="David" w:eastAsia="David" w:hAnsi="David"/>
          <w:rtl/>
        </w:rPr>
        <w:t>: "</w:t>
      </w:r>
      <w:r w:rsidRPr="00987F99">
        <w:rPr>
          <w:rFonts w:ascii="David" w:eastAsia="David" w:hAnsi="David"/>
          <w:b/>
          <w:bCs/>
          <w:u w:val="single"/>
          <w:rtl/>
        </w:rPr>
        <w:t>זה שהוא לא הגיע שנתיים או שלוש שנים לאשפוז זה הישג אדיר של טיפול שהוא ניתן בבית על ידי המטפל ועל ידי אשתו</w:t>
      </w:r>
      <w:r w:rsidRPr="00987F99">
        <w:rPr>
          <w:rFonts w:ascii="David" w:eastAsia="David" w:hAnsi="David"/>
          <w:b/>
          <w:bCs/>
          <w:rtl/>
        </w:rPr>
        <w:t>, ואני רק רוצה לציין שהגבורה של בני המשפחה שטיפלו באבא הפצוע הזה במשך כל כך הרבה שנים היא דבר שלא רואים הרבה</w:t>
      </w:r>
      <w:r w:rsidRPr="00987F99">
        <w:rPr>
          <w:rFonts w:ascii="David" w:eastAsia="David" w:hAnsi="David"/>
          <w:rtl/>
        </w:rPr>
        <w:t xml:space="preserve">" (עמ' 35).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ובהמשך :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w:t>
      </w:r>
      <w:r w:rsidRPr="00987F99">
        <w:rPr>
          <w:rFonts w:ascii="David" w:eastAsia="Calibri" w:hAnsi="David"/>
          <w:b/>
          <w:bCs/>
          <w:rtl/>
        </w:rPr>
        <w:t>...היה לנו קושי עצום מול אשתו שהייתה מאוד מאוד קפדנית בטיפול שלו. היא לא הייתה עוזבת אותנו לרגע. כמה רמות  נתרן, כמה חום, וכמה סטורציה, והאם עושים לו מספיק סקשנים ואיך משנים לו תנוחות... היא הייתה יושבת לנו כאן על הוריד כדי שנוכל לתת לו את הטיפול הכי טוב שאפשר ואנחנו כולנו באמת התפעלנו כל פעם שהוא היה מגיע מרמת המסירות של אשתו זה נדיר לראות חולים צעירים כל כך וסובלים כל כך, כל כך הרבה שנים. כולנו הצטערנו שהוא לא מת בירי הראשון שהיה, החיים שלו היו חיי סבל נוראיים במשך כל השנים שבהן... עד למותו</w:t>
      </w:r>
      <w:r w:rsidRPr="00987F99">
        <w:rPr>
          <w:rFonts w:ascii="David" w:eastAsia="Calibri" w:hAnsi="David"/>
          <w:rtl/>
        </w:rPr>
        <w:t xml:space="preserve">" (עמ' 58).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הסברים אלו מקובלים עלינו ומתיישבים עם דברי אשתו של </w:t>
      </w:r>
      <w:r w:rsidR="008E5FF0">
        <w:rPr>
          <w:rFonts w:ascii="David" w:eastAsia="Calibri" w:hAnsi="David"/>
          <w:rtl/>
        </w:rPr>
        <w:t>המנוח</w:t>
      </w:r>
      <w:r w:rsidRPr="00987F99">
        <w:rPr>
          <w:rFonts w:ascii="David" w:eastAsia="Calibri" w:hAnsi="David"/>
          <w:rtl/>
        </w:rPr>
        <w:t xml:space="preserve"> שהסבירה כי מבחינתה עשתה הכל על מנת שלא יהיה צורך להביאו לבית החולים וזה יקבל את כל שהוא נזקק לו בביתו: "</w:t>
      </w:r>
      <w:r w:rsidRPr="00987F99">
        <w:rPr>
          <w:rFonts w:ascii="David" w:eastAsia="Calibri" w:hAnsi="David"/>
          <w:b/>
          <w:bCs/>
          <w:rtl/>
        </w:rPr>
        <w:t>שמרנו עליו כמו על יהלום, במשך שנתיים הוא לא אושפז פעם אחת בסורוקה, בשנתיים האחרונות, משנת 2018 טיפלתי בו בבית, תמיד מנעתי את האשפוז בטיפול נכון בבית</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חיזוק באמור ניתן למצוא גם בתיעוד הרפואי הנוגע לאשפוזיו הקודמים של </w:t>
      </w:r>
      <w:r w:rsidR="00CC6733">
        <w:rPr>
          <w:rFonts w:ascii="David" w:eastAsia="Calibri" w:hAnsi="David"/>
          <w:rtl/>
        </w:rPr>
        <w:t>ת.מ</w:t>
      </w:r>
      <w:r w:rsidRPr="00987F99">
        <w:rPr>
          <w:rFonts w:ascii="David" w:eastAsia="Calibri" w:hAnsi="David"/>
          <w:rtl/>
        </w:rPr>
        <w:t xml:space="preserve"> (ת/27) שם מצוין דבר הטיפול הביתי אותו קיבל בביתו: "</w:t>
      </w:r>
      <w:r w:rsidRPr="00987F99">
        <w:rPr>
          <w:rFonts w:ascii="David" w:eastAsia="Calibri" w:hAnsi="David"/>
          <w:b/>
          <w:bCs/>
          <w:rtl/>
        </w:rPr>
        <w:t xml:space="preserve">בשיחה עם אשתו בחדר מיון שמכירה את מצבו וישנה נטייה לאספירציות סביב ארוחות והפרשות צמיגיות, </w:t>
      </w:r>
      <w:r w:rsidRPr="00987F99">
        <w:rPr>
          <w:rFonts w:ascii="David" w:eastAsia="Calibri" w:hAnsi="David"/>
          <w:b/>
          <w:bCs/>
          <w:u w:val="single"/>
          <w:rtl/>
        </w:rPr>
        <w:t>נוטה לטפל בו באינהלציות מוקומיסט בניסיון עידוד לשיעול</w:t>
      </w:r>
      <w:r w:rsidRPr="00987F99">
        <w:rPr>
          <w:rFonts w:ascii="David" w:eastAsia="Calibri" w:hAnsi="David"/>
          <w:rtl/>
        </w:rPr>
        <w:t xml:space="preserve">". בדומה ראה ת/24 (סיכום אשפוז מתאריך 31.1.17), שם מצוין בסוף המהלך והדיון כי </w:t>
      </w:r>
      <w:r w:rsidR="00CC6733">
        <w:rPr>
          <w:rFonts w:ascii="David" w:eastAsia="Calibri" w:hAnsi="David"/>
          <w:rtl/>
        </w:rPr>
        <w:t>ת.מ</w:t>
      </w:r>
      <w:r w:rsidRPr="00987F99">
        <w:rPr>
          <w:rFonts w:ascii="David" w:eastAsia="Calibri" w:hAnsi="David"/>
          <w:rtl/>
        </w:rPr>
        <w:t xml:space="preserve"> "</w:t>
      </w:r>
      <w:r w:rsidRPr="00987F99">
        <w:rPr>
          <w:rFonts w:ascii="David" w:eastAsia="Calibri" w:hAnsi="David"/>
          <w:b/>
          <w:bCs/>
          <w:rtl/>
        </w:rPr>
        <w:t xml:space="preserve">יכול להשתחרר חזרה לביתו </w:t>
      </w:r>
      <w:r w:rsidRPr="00987F99">
        <w:rPr>
          <w:rFonts w:ascii="David" w:eastAsia="Calibri" w:hAnsi="David"/>
          <w:b/>
          <w:bCs/>
          <w:u w:val="single"/>
          <w:rtl/>
        </w:rPr>
        <w:t>להמשך טיפול תומך וטיפול שיקומי במסגרת הביתית</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באשר לטענה לפיה חוות הדעת אינה ערוכה כדין וחסרה נתונים שונים (בכללם פירוט מלוא המסמכים שעמדו לרשותו של המומחה, פירוט הגורם שפנה אליו וטיב הפנייה) נקדים ונציין כי החוסר בפרטים אלו, גם אם קיים, אינו פוסל את קבילותה של חוות הדעת ונוגע אך למשקלה. במקרה הנדון, לא מצאנו כי יש בכך כדי לפגום במשקל שאנו מעניקים לחוות דעתו של פרופ' מימון.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אין חולק כי מוטב היה שהמומחה יציין בחוות דעתו, כמקובל וכנדרש, מהם המסמכים בהם נעזר לצורך כתיבת חוות הדעת. ברם, החשוב יותר לענייננו הוא לא תיעוד המסמכים בהם נעזר המומחה, אלא מהותית איזה מסמכים היו ברשותו ומה הוא מכלול המידע שבו נעזר לצורך הגעה למסקנה הסופית. בהקשר לכך, אנו מקבלים את דברי פרופ' מימון לפיהם צפה במסמכים הרלוונטיים </w:t>
      </w:r>
      <w:r w:rsidRPr="00987F99">
        <w:rPr>
          <w:rFonts w:ascii="David" w:eastAsia="Calibri" w:hAnsi="David"/>
          <w:rtl/>
        </w:rPr>
        <w:lastRenderedPageBreak/>
        <w:t>באמצעות מערכת "אופק" ומתוך שאינו עוסק כלל בכתיבת חוות דעת, לא הקפיד לציין זאת בחוות דעתו: "</w:t>
      </w:r>
      <w:r w:rsidRPr="00987F99">
        <w:rPr>
          <w:rFonts w:ascii="David" w:eastAsia="Calibri" w:hAnsi="David"/>
          <w:b/>
          <w:bCs/>
          <w:rtl/>
        </w:rPr>
        <w:t>אני רואה את המכתב שחרור מבית לוינשטיין ואני רואה את משך האשפוז בבית לוינשטיין. אני יכול לראות את הביקורים בבית החולים, את הביקורים במיונים, את הביקורים במרפאות הקהילה דברים שלא מופיעים...</w:t>
      </w:r>
      <w:r w:rsidRPr="00987F99">
        <w:rPr>
          <w:rFonts w:ascii="David" w:eastAsia="Calibri" w:hAnsi="David"/>
          <w:rtl/>
        </w:rPr>
        <w:t>" (עמ' 32); "</w:t>
      </w:r>
      <w:r w:rsidRPr="00987F99">
        <w:rPr>
          <w:rFonts w:ascii="David" w:eastAsia="Calibri" w:hAnsi="David"/>
          <w:b/>
          <w:bCs/>
          <w:rtl/>
        </w:rPr>
        <w:t>כשאני פותח את המחשב שלי בסורוקה אני רואה מסמכים גם של אופק. זה שייך לבית החולים סורוקה. זה טכני מה שאת כרגע שואלת, זה חסר משמעות לגמרי כל מערכות המידע חשופות בפניי</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Pr>
      </w:pPr>
      <w:r w:rsidRPr="00987F99">
        <w:rPr>
          <w:rFonts w:ascii="David" w:eastAsia="Calibri" w:hAnsi="David"/>
          <w:rtl/>
        </w:rPr>
        <w:t xml:space="preserve">חשוב מכך, כפי העולה, ההגנה (יחד עם התביעה) החזיקה ברשותה את מלוא התיעוד הרפואי של </w:t>
      </w:r>
      <w:r w:rsidR="00CC6733">
        <w:rPr>
          <w:rFonts w:ascii="David" w:eastAsia="Calibri" w:hAnsi="David"/>
          <w:rtl/>
        </w:rPr>
        <w:t>ת.מ</w:t>
      </w:r>
      <w:r w:rsidRPr="00987F99">
        <w:rPr>
          <w:rFonts w:ascii="David" w:eastAsia="Calibri" w:hAnsi="David"/>
          <w:rtl/>
        </w:rPr>
        <w:t xml:space="preserve"> לרבות התיעוד הרפואי עליו הסתמך המומחה (נטען כי מדובר במספר קרגלים). הסנגורית הקשתה על פרופ' מימון והטיחה בו במהלך החקירה הנגדית אפשרויות חלופיות לסיבת המוות שלטענתה נלמדות מהחומר הרפואי המלא שמצוי ברשותה, וקיבלה מענה מלא ומפורט. פועל יוצא הוא כי הגנת הנאשם לא נפגעה בשל אותם פגמים נטענים שזהו המבחן החשוב לענייננו. יפים לעניין זה דברי בית המשפט העליון בע"פ 2842/10 </w:t>
      </w:r>
      <w:r w:rsidRPr="00987F99">
        <w:rPr>
          <w:rFonts w:ascii="David" w:eastAsia="Calibri" w:hAnsi="David"/>
          <w:b/>
          <w:bCs/>
          <w:rtl/>
        </w:rPr>
        <w:t>‏נוי קלדרון נ' מדינת ישראל</w:t>
      </w:r>
      <w:r w:rsidRPr="00987F99">
        <w:rPr>
          <w:rFonts w:ascii="David" w:eastAsia="Calibri" w:hAnsi="David"/>
          <w:rtl/>
        </w:rPr>
        <w:t xml:space="preserve"> [פסקה 18 לפסק דינו של כב' הש' ג'ובראן] (פורסם ביום 23.1.12): </w:t>
      </w:r>
    </w:p>
    <w:p w:rsidR="00987F99" w:rsidRPr="00987F99" w:rsidRDefault="00987F99" w:rsidP="00987F99">
      <w:pPr>
        <w:spacing w:before="120" w:after="120"/>
        <w:ind w:left="509" w:right="426"/>
        <w:jc w:val="both"/>
        <w:rPr>
          <w:rFonts w:ascii="David" w:eastAsia="Calibri" w:hAnsi="David"/>
          <w:b/>
          <w:bCs/>
          <w:rtl/>
        </w:rPr>
      </w:pPr>
      <w:r w:rsidRPr="00987F99">
        <w:rPr>
          <w:rFonts w:ascii="David" w:eastAsia="Calibri" w:hAnsi="David"/>
          <w:rtl/>
        </w:rPr>
        <w:t>"</w:t>
      </w:r>
      <w:r w:rsidRPr="00987F99">
        <w:rPr>
          <w:rFonts w:ascii="David" w:eastAsia="Calibri" w:hAnsi="David"/>
          <w:b/>
          <w:bCs/>
          <w:rtl/>
        </w:rPr>
        <w:t>חוות דעת זו לא הוגשה אמנם בדרך הצורנית המקובלת לפי סעיף 24 לפקודת הראיות, אך בכך אין דבר לענייננו. צורת ההגשה הקבועה בסעיף 24 ובתוספת הראשונה לפקודת הראיות נועדה, בעיקרה, לשרת את תכליתו של סעיף 20. היינו, לאפשר לצדדים להגיש חוות דעת מומחה על דרך הכתב. לעיתים, אף מבלי שזה ייחקר בבית המשפט (וראו ההוראה שבסעיף 26 לפקודת הראיות). הגשתה של חוות דעת שלא בדרך הצורנית הקבועה בתוספת הראשונה, אינה פוגמת – כשלעצמה – בעמידת המשיבה בחובתה לפי סעיף 74 לחסד"פ. עדיף אמנם, שככלל תגיש המשיבה את חוות הדעת מטעמה בצורה הנוהגת, לבל תפתיע את הנאשם וסניגורו ותיכשל בהגשמת מטרתו העיקרית של סעיף 74 לחסד"פ – הבטחת הליך הוגן לנאשם, אלא שכפי שיפורט להלן לא היה, במקרה זה, בפגם הצורני כדי לגרום לעיוות דין למערער...</w:t>
      </w:r>
      <w:r w:rsidRPr="00987F99">
        <w:rPr>
          <w:rFonts w:ascii="David" w:eastAsia="Calibri" w:hAnsi="David"/>
          <w:rtl/>
        </w:rPr>
        <w:t>".</w:t>
      </w:r>
      <w:r w:rsidRPr="00987F99">
        <w:rPr>
          <w:rFonts w:ascii="David" w:eastAsia="Calibri" w:hAnsi="David"/>
          <w:b/>
          <w:bCs/>
          <w:rtl/>
        </w:rPr>
        <w:t xml:space="preserve"> </w:t>
      </w:r>
    </w:p>
    <w:p w:rsidR="00987F99" w:rsidRPr="00987F99" w:rsidRDefault="00987F99" w:rsidP="00987F99">
      <w:pPr>
        <w:spacing w:before="120" w:after="120"/>
        <w:jc w:val="both"/>
        <w:rPr>
          <w:rFonts w:ascii="David" w:eastAsia="Calibri" w:hAnsi="David"/>
          <w:rtl/>
        </w:rPr>
      </w:pPr>
      <w:r w:rsidRPr="00987F99">
        <w:rPr>
          <w:rFonts w:ascii="David" w:eastAsia="Calibri" w:hAnsi="David"/>
          <w:rtl/>
        </w:rPr>
        <w:t>ובהמשך:</w:t>
      </w:r>
    </w:p>
    <w:p w:rsidR="00987F99" w:rsidRPr="00987F99" w:rsidRDefault="00987F99" w:rsidP="00987F99">
      <w:pPr>
        <w:spacing w:before="120" w:after="120"/>
        <w:ind w:left="509" w:right="426"/>
        <w:jc w:val="both"/>
        <w:rPr>
          <w:rFonts w:ascii="David" w:eastAsia="Calibri" w:hAnsi="David"/>
          <w:b/>
          <w:bCs/>
          <w:rtl/>
        </w:rPr>
      </w:pPr>
      <w:r w:rsidRPr="00987F99">
        <w:rPr>
          <w:rFonts w:ascii="David" w:eastAsia="Calibri" w:hAnsi="David"/>
          <w:rtl/>
        </w:rPr>
        <w:t>"</w:t>
      </w:r>
      <w:r w:rsidRPr="00987F99">
        <w:rPr>
          <w:rFonts w:ascii="David" w:eastAsia="Calibri" w:hAnsi="David"/>
          <w:b/>
          <w:bCs/>
          <w:rtl/>
        </w:rPr>
        <w:t>על הנאשם וסניגורו לדעת מראש בפני מה הם ניצבים, פן תיפגע הגנתו של הנאשם. על המשיבה להקפיד לסווג נכונה ומראש את העדויות המוגשות, ורצוי, כאמור, כי תדאג להגשתן בפורמט המקובל והמתאים לפי סעיף 24 לפקודת הראיות. אולם, וכאן אנו מגיעים לעיקר השני המתקיים בענייננו, ההליך הפלילי אינו</w:t>
      </w:r>
      <w:r w:rsidRPr="00987F99">
        <w:rPr>
          <w:rFonts w:ascii="David" w:eastAsia="Calibri" w:hAnsi="David"/>
          <w:b/>
          <w:bCs/>
        </w:rPr>
        <w:t xml:space="preserve"> </w:t>
      </w:r>
      <w:r w:rsidRPr="00987F99">
        <w:rPr>
          <w:rFonts w:ascii="David" w:eastAsia="Calibri" w:hAnsi="David"/>
          <w:b/>
          <w:bCs/>
          <w:rtl/>
        </w:rPr>
        <w:t>קם ונופל על שגיאותיו של צד זה או אחר. עניין לנו בבחינה מהותית – האם נתקיימו הרציונאליים שבחובות המוטלות על התביעה, והאם זכה המערער להליך הוגן</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הדברים אמורים גם בנוגע למסמכים הרפואיים הנוגעים למהלך הטיפול הרפואי שקיבל </w:t>
      </w:r>
      <w:r w:rsidR="008E5FF0">
        <w:rPr>
          <w:rFonts w:ascii="David" w:eastAsia="Calibri" w:hAnsi="David"/>
          <w:rtl/>
        </w:rPr>
        <w:t>המנוח</w:t>
      </w:r>
      <w:r w:rsidRPr="00987F99">
        <w:rPr>
          <w:rFonts w:ascii="David" w:eastAsia="Calibri" w:hAnsi="David"/>
          <w:rtl/>
        </w:rPr>
        <w:t xml:space="preserve"> במהלך שהייתו במחלקה לטיפול נמרץ. מסמכים אלו לא היו לנגד עיניו של המומחה, אולם המופיע בהם הוטח בו, לרבות הבדיקות השונות שנערכו למנוח. המומחה התייחס לכל אותן אפשרויות ודחה אותן באופן מנומק וסדור. הסבריו של המומחה מדוע אין לקבל אותן תזות חלופיות היו משכנעים והם מקובלים עלינו, לרבות הסברו לפיו, לא אחת, מורים על שורה של בדיקות רפואיות למען הסר ספק או בזיקה לניסיון של זה שהורה לערוך אותן: "</w:t>
      </w:r>
      <w:r w:rsidRPr="00987F99">
        <w:rPr>
          <w:rFonts w:ascii="David" w:eastAsia="Calibri" w:hAnsi="David"/>
          <w:b/>
          <w:bCs/>
          <w:rtl/>
        </w:rPr>
        <w:t xml:space="preserve">כל סטודנט אתה רוצה שיגיד לך כל מיני דברים... על מנת לכסות את כל האפשרויות. בסופו של דבר ההבדל בין סטודנט או בין מתמחה לבין מומחה </w:t>
      </w:r>
      <w:r w:rsidRPr="00987F99">
        <w:rPr>
          <w:rFonts w:ascii="David" w:eastAsia="Calibri" w:hAnsi="David"/>
          <w:b/>
          <w:bCs/>
          <w:rtl/>
        </w:rPr>
        <w:lastRenderedPageBreak/>
        <w:t>כמוני הוא שאני חותר לאבחנה ומבצע אבחנות מהירות על מנת לתת טיפול ולא לטלטל חולים לבדיקות מיותרות, כי בדיקות מיותרות לדוגמא לעשות לו סי טי בטן אתה צריך להזריק לו חומר ניגוד שאמור לפגוע לו בכליות</w:t>
      </w:r>
      <w:r w:rsidRPr="00987F99">
        <w:rPr>
          <w:rFonts w:ascii="David" w:eastAsia="Calibri" w:hAnsi="David"/>
          <w:rtl/>
        </w:rPr>
        <w:t xml:space="preserve">" (ר' עמ' 51). </w:t>
      </w:r>
    </w:p>
    <w:p w:rsidR="00987F99" w:rsidRPr="00987F99" w:rsidRDefault="00987F99" w:rsidP="00987F99">
      <w:pPr>
        <w:spacing w:before="120" w:after="120" w:line="360" w:lineRule="auto"/>
        <w:jc w:val="both"/>
        <w:rPr>
          <w:rFonts w:ascii="David" w:eastAsia="Calibri" w:hAnsi="David"/>
          <w:b/>
          <w:bCs/>
          <w:rtl/>
        </w:rPr>
      </w:pPr>
      <w:r w:rsidRPr="00987F99">
        <w:rPr>
          <w:rFonts w:ascii="David" w:eastAsia="Calibri" w:hAnsi="David"/>
          <w:rtl/>
        </w:rPr>
        <w:t xml:space="preserve">לא מצאנו לפקפק בדברי המומחה לפיהם, הגם שלא נחשף למסמכי האשפוז של </w:t>
      </w:r>
      <w:r w:rsidR="00CC6733">
        <w:rPr>
          <w:rFonts w:ascii="David" w:eastAsia="Calibri" w:hAnsi="David"/>
          <w:rtl/>
        </w:rPr>
        <w:t>ת.מ</w:t>
      </w:r>
      <w:r w:rsidRPr="00987F99">
        <w:rPr>
          <w:rFonts w:ascii="David" w:eastAsia="Calibri" w:hAnsi="David"/>
          <w:rtl/>
        </w:rPr>
        <w:t xml:space="preserve"> במחלקה לטיפול נמרץ, הלכה למעשה הוא היה בקשר עם המחלקה ובכלל זאת, קיבל מידע כי מותו של </w:t>
      </w:r>
      <w:r w:rsidR="00CC6733">
        <w:rPr>
          <w:rFonts w:ascii="David" w:eastAsia="Calibri" w:hAnsi="David"/>
          <w:rtl/>
        </w:rPr>
        <w:t>ת.מ</w:t>
      </w:r>
      <w:r w:rsidRPr="00987F99">
        <w:rPr>
          <w:rFonts w:ascii="David" w:eastAsia="Calibri" w:hAnsi="David"/>
          <w:rtl/>
        </w:rPr>
        <w:t xml:space="preserve"> נגרם - כפי שצפה - כתוצאה מ-</w:t>
      </w:r>
      <w:r w:rsidRPr="00987F99">
        <w:rPr>
          <w:rFonts w:ascii="David" w:eastAsia="Calibri" w:hAnsi="David"/>
          <w:sz w:val="20"/>
          <w:szCs w:val="20"/>
        </w:rPr>
        <w:t>ARDS</w:t>
      </w:r>
      <w:r w:rsidRPr="00987F99">
        <w:rPr>
          <w:rFonts w:ascii="David" w:eastAsia="Calibri" w:hAnsi="David"/>
          <w:rtl/>
        </w:rPr>
        <w:t>:  "</w:t>
      </w:r>
      <w:r w:rsidRPr="00987F99">
        <w:rPr>
          <w:rFonts w:ascii="David" w:eastAsia="Calibri" w:hAnsi="David"/>
          <w:b/>
          <w:bCs/>
          <w:rtl/>
        </w:rPr>
        <w:t xml:space="preserve">...המקרה של </w:t>
      </w:r>
      <w:r w:rsidR="00CC6733" w:rsidRPr="008E5FF0">
        <w:rPr>
          <w:rFonts w:ascii="David" w:eastAsia="Calibri" w:hAnsi="David"/>
          <w:rtl/>
        </w:rPr>
        <w:t>[ת.מ]</w:t>
      </w:r>
      <w:r w:rsidRPr="00987F99">
        <w:rPr>
          <w:rFonts w:ascii="David" w:eastAsia="Calibri" w:hAnsi="David"/>
          <w:b/>
          <w:bCs/>
          <w:rtl/>
        </w:rPr>
        <w:t xml:space="preserve"> היה מקרה שנדון בנינו הרבה פעמים. זה חולה הוא היה מאוד ייחודי ולכן היה לנו קשר עם טיפול נמרץ זה מה שהם אמרו לנו שהוא מת בסופו של דבר מ</w:t>
      </w:r>
      <w:r w:rsidRPr="00987F99">
        <w:rPr>
          <w:rFonts w:ascii="David" w:eastAsia="Calibri" w:hAnsi="David"/>
          <w:b/>
          <w:bCs/>
          <w:sz w:val="20"/>
          <w:szCs w:val="20"/>
        </w:rPr>
        <w:t>ARDS</w:t>
      </w:r>
      <w:r w:rsidRPr="00987F99">
        <w:rPr>
          <w:rFonts w:ascii="David" w:eastAsia="Calibri" w:hAnsi="David"/>
          <w:b/>
          <w:bCs/>
          <w:rtl/>
        </w:rPr>
        <w:t xml:space="preserve"> כתוצאה מאספירציה, זה מה שקרה שם אז ידעתי את זה</w:t>
      </w:r>
      <w:r w:rsidRPr="00987F99">
        <w:rPr>
          <w:rFonts w:ascii="David" w:eastAsia="Calibri" w:hAnsi="David"/>
          <w:rtl/>
        </w:rPr>
        <w:t>" (ובדומה, ר' עמ' 41 ש' 3).</w:t>
      </w:r>
    </w:p>
    <w:p w:rsidR="00987F99" w:rsidRPr="00987F99" w:rsidRDefault="00987F99" w:rsidP="00987F99">
      <w:pPr>
        <w:spacing w:before="120" w:after="120" w:line="360" w:lineRule="auto"/>
        <w:jc w:val="both"/>
        <w:rPr>
          <w:rFonts w:ascii="David" w:eastAsia="Calibri" w:hAnsi="David"/>
          <w:b/>
          <w:bCs/>
          <w:rtl/>
        </w:rPr>
      </w:pPr>
      <w:r w:rsidRPr="00987F99">
        <w:rPr>
          <w:rFonts w:ascii="David" w:eastAsia="Calibri" w:hAnsi="David"/>
          <w:rtl/>
        </w:rPr>
        <w:t xml:space="preserve">מסקנה זו מתיישבת גם עם מסמכי המחלקה לטיפול נמרץ שהוגשו מטעם ההגנה (נ/1). בעניין זה, כבר </w:t>
      </w:r>
      <w:r w:rsidRPr="00987F99">
        <w:rPr>
          <w:rFonts w:ascii="David" w:eastAsia="Calibri" w:hAnsi="David"/>
          <w:u w:val="single"/>
          <w:rtl/>
        </w:rPr>
        <w:t>בפתח</w:t>
      </w:r>
      <w:r w:rsidRPr="00987F99">
        <w:rPr>
          <w:rFonts w:ascii="David" w:eastAsia="Calibri" w:hAnsi="David"/>
          <w:rtl/>
        </w:rPr>
        <w:t xml:space="preserve"> מהלך האשפוז מצוין כי </w:t>
      </w:r>
      <w:r w:rsidR="00CC6733">
        <w:rPr>
          <w:rFonts w:ascii="David" w:eastAsia="Calibri" w:hAnsi="David"/>
          <w:rtl/>
        </w:rPr>
        <w:t>ת.מ</w:t>
      </w:r>
      <w:r w:rsidRPr="00987F99">
        <w:rPr>
          <w:rFonts w:ascii="David" w:eastAsia="Calibri" w:hAnsi="David"/>
          <w:rtl/>
        </w:rPr>
        <w:t xml:space="preserve"> הגיע ליחידה "</w:t>
      </w:r>
      <w:r w:rsidRPr="00987F99">
        <w:rPr>
          <w:rFonts w:ascii="David" w:eastAsia="Calibri" w:hAnsi="David"/>
          <w:b/>
          <w:bCs/>
          <w:rtl/>
        </w:rPr>
        <w:t xml:space="preserve">בשל </w:t>
      </w:r>
      <w:r w:rsidRPr="00987F99">
        <w:rPr>
          <w:rFonts w:ascii="David" w:eastAsia="Calibri" w:hAnsi="David"/>
          <w:b/>
          <w:bCs/>
          <w:u w:val="single"/>
          <w:rtl/>
        </w:rPr>
        <w:t>כשל נשימתי</w:t>
      </w:r>
      <w:r w:rsidRPr="00987F99">
        <w:rPr>
          <w:rFonts w:ascii="David" w:eastAsia="Calibri" w:hAnsi="David"/>
          <w:b/>
          <w:bCs/>
          <w:rtl/>
        </w:rPr>
        <w:t xml:space="preserve"> ככל הנראה </w:t>
      </w:r>
      <w:r w:rsidRPr="00987F99">
        <w:rPr>
          <w:rFonts w:ascii="David" w:eastAsia="Calibri" w:hAnsi="David"/>
          <w:b/>
          <w:bCs/>
          <w:u w:val="single"/>
          <w:rtl/>
        </w:rPr>
        <w:t>על רקע אספירציה</w:t>
      </w:r>
      <w:r w:rsidRPr="00987F99">
        <w:rPr>
          <w:rFonts w:ascii="David" w:eastAsia="Calibri" w:hAnsi="David"/>
          <w:b/>
          <w:bCs/>
          <w:rtl/>
        </w:rPr>
        <w:t xml:space="preserve">. בהגיעו ליחידה אינו </w:t>
      </w:r>
      <w:r w:rsidRPr="00987F99">
        <w:rPr>
          <w:rFonts w:ascii="David" w:eastAsia="Calibri" w:hAnsi="David"/>
          <w:b/>
          <w:bCs/>
          <w:u w:val="single"/>
          <w:rtl/>
        </w:rPr>
        <w:t>יציב המודינאמית</w:t>
      </w:r>
      <w:r w:rsidRPr="00987F99">
        <w:rPr>
          <w:rFonts w:ascii="David" w:eastAsia="Calibri" w:hAnsi="David"/>
          <w:b/>
          <w:bCs/>
          <w:rtl/>
        </w:rPr>
        <w:t xml:space="preserve">... כמו כן </w:t>
      </w:r>
      <w:r w:rsidRPr="00987F99">
        <w:rPr>
          <w:rFonts w:ascii="David" w:eastAsia="Calibri" w:hAnsi="David"/>
          <w:b/>
          <w:bCs/>
          <w:u w:val="single"/>
          <w:rtl/>
        </w:rPr>
        <w:t>חמצת נשימתית והיפוקסיה</w:t>
      </w:r>
      <w:r w:rsidRPr="00987F99">
        <w:rPr>
          <w:rFonts w:ascii="David" w:eastAsia="Calibri" w:hAnsi="David"/>
          <w:b/>
          <w:bCs/>
          <w:rtl/>
        </w:rPr>
        <w:t>...</w:t>
      </w:r>
      <w:r w:rsidRPr="00987F99">
        <w:rPr>
          <w:rFonts w:ascii="David" w:eastAsia="Calibri" w:hAnsi="David"/>
          <w:rtl/>
        </w:rPr>
        <w:t>". עוד מפורט במהלך הקבלה ליחידה כי מדובר במי שנמצא ב - "</w:t>
      </w:r>
      <w:r w:rsidRPr="00987F99">
        <w:rPr>
          <w:rFonts w:ascii="David" w:eastAsia="Calibri" w:hAnsi="David"/>
          <w:b/>
          <w:bCs/>
          <w:rtl/>
        </w:rPr>
        <w:t>מצב בסיסי סיעודי, כמו כן בהגיעו מונשם וחסר הכרה</w:t>
      </w:r>
      <w:r w:rsidRPr="00987F99">
        <w:rPr>
          <w:rFonts w:ascii="David" w:eastAsia="Calibri" w:hAnsi="David"/>
          <w:rtl/>
        </w:rPr>
        <w:t>"; "</w:t>
      </w:r>
      <w:r w:rsidRPr="00987F99">
        <w:rPr>
          <w:rFonts w:ascii="David" w:eastAsia="Calibri" w:hAnsi="David"/>
          <w:b/>
          <w:bCs/>
          <w:rtl/>
        </w:rPr>
        <w:t xml:space="preserve">התקבל ליחידה במצב של </w:t>
      </w:r>
      <w:r w:rsidRPr="00987F99">
        <w:rPr>
          <w:rFonts w:ascii="David" w:eastAsia="Calibri" w:hAnsi="David"/>
          <w:b/>
          <w:bCs/>
          <w:u w:val="single"/>
          <w:rtl/>
        </w:rPr>
        <w:t>כשל נשימתי ושוק</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בתיעוד הביקור הרפואי לפני האחרון שנערך ל</w:t>
      </w:r>
      <w:r w:rsidR="00CC6733">
        <w:rPr>
          <w:rFonts w:ascii="David" w:eastAsia="Calibri" w:hAnsi="David"/>
          <w:rtl/>
        </w:rPr>
        <w:t>ת.מ</w:t>
      </w:r>
      <w:r w:rsidRPr="00987F99">
        <w:rPr>
          <w:rFonts w:ascii="David" w:eastAsia="Calibri" w:hAnsi="David"/>
          <w:rtl/>
        </w:rPr>
        <w:t xml:space="preserve"> סמוך לפני פטירתו (תיעוד 8 מיום 20.02.20 שעה 10:49) עולה כי </w:t>
      </w:r>
      <w:r w:rsidR="00CC6733">
        <w:rPr>
          <w:rFonts w:ascii="David" w:eastAsia="Calibri" w:hAnsi="David"/>
          <w:rtl/>
        </w:rPr>
        <w:t>ת.מ</w:t>
      </w:r>
      <w:r w:rsidRPr="00987F99">
        <w:rPr>
          <w:rFonts w:ascii="David" w:eastAsia="Calibri" w:hAnsi="David"/>
          <w:rtl/>
        </w:rPr>
        <w:t xml:space="preserve"> סבל מאותן מצוקות רפואיות אקוטיות בגינן מלכתחילה הובהל לטיפול נמרץ: "</w:t>
      </w:r>
      <w:r w:rsidRPr="00987F99">
        <w:rPr>
          <w:rFonts w:ascii="David" w:eastAsia="Calibri" w:hAnsi="David"/>
          <w:b/>
          <w:bCs/>
          <w:rtl/>
        </w:rPr>
        <w:t>...</w:t>
      </w:r>
      <w:r w:rsidRPr="00987F99">
        <w:rPr>
          <w:rFonts w:ascii="David" w:eastAsia="Calibri" w:hAnsi="David"/>
          <w:b/>
          <w:bCs/>
          <w:u w:val="single"/>
          <w:rtl/>
        </w:rPr>
        <w:t xml:space="preserve">נשימתית – כשל חיצוני מוסיף להיות משמעותי... </w:t>
      </w:r>
      <w:r w:rsidRPr="00987F99">
        <w:rPr>
          <w:rFonts w:ascii="David" w:eastAsia="Calibri" w:hAnsi="David"/>
          <w:b/>
          <w:bCs/>
          <w:rtl/>
        </w:rPr>
        <w:t xml:space="preserve">נזמין </w:t>
      </w:r>
      <w:r w:rsidRPr="00987F99">
        <w:rPr>
          <w:rFonts w:ascii="David" w:eastAsia="Calibri" w:hAnsi="David"/>
          <w:b/>
          <w:bCs/>
          <w:sz w:val="20"/>
          <w:szCs w:val="20"/>
        </w:rPr>
        <w:t>CT</w:t>
      </w:r>
      <w:r w:rsidRPr="00987F99">
        <w:rPr>
          <w:rFonts w:ascii="David" w:eastAsia="Calibri" w:hAnsi="David"/>
          <w:b/>
          <w:bCs/>
          <w:rtl/>
        </w:rPr>
        <w:t xml:space="preserve"> חזה </w:t>
      </w:r>
      <w:r w:rsidRPr="00987F99">
        <w:rPr>
          <w:rFonts w:ascii="David" w:eastAsia="Calibri" w:hAnsi="David"/>
          <w:b/>
          <w:bCs/>
          <w:u w:val="single"/>
          <w:rtl/>
        </w:rPr>
        <w:t xml:space="preserve">בשאלה של </w:t>
      </w:r>
      <w:r w:rsidRPr="00987F99">
        <w:rPr>
          <w:rFonts w:ascii="David" w:eastAsia="Calibri" w:hAnsi="David"/>
          <w:b/>
          <w:bCs/>
          <w:sz w:val="20"/>
          <w:szCs w:val="20"/>
          <w:u w:val="single"/>
        </w:rPr>
        <w:t>ARDS</w:t>
      </w:r>
      <w:r w:rsidRPr="00987F99">
        <w:rPr>
          <w:rFonts w:ascii="David" w:eastAsia="Calibri" w:hAnsi="David"/>
          <w:b/>
          <w:bCs/>
          <w:u w:val="single"/>
          <w:rtl/>
        </w:rPr>
        <w:t xml:space="preserve"> לבד</w:t>
      </w:r>
      <w:r w:rsidRPr="00987F99">
        <w:rPr>
          <w:rFonts w:ascii="David" w:eastAsia="Calibri" w:hAnsi="David"/>
          <w:b/>
          <w:bCs/>
          <w:rtl/>
        </w:rPr>
        <w:t xml:space="preserve"> או תהליך נוסף... נשלים סי טי בטן-אגן בשאלה של מקור בטני – פרפורציה או תהליך אחר </w:t>
      </w:r>
      <w:r w:rsidRPr="00987F99">
        <w:rPr>
          <w:rFonts w:ascii="David" w:eastAsia="Calibri" w:hAnsi="David"/>
          <w:b/>
          <w:bCs/>
          <w:u w:val="single"/>
          <w:rtl/>
        </w:rPr>
        <w:t>שגרם להתדרדרות ההמודינאמית שטרם חלפה</w:t>
      </w:r>
      <w:r w:rsidRPr="00987F99">
        <w:rPr>
          <w:rFonts w:ascii="David" w:eastAsia="Calibri" w:hAnsi="David"/>
          <w:rtl/>
        </w:rPr>
        <w:t xml:space="preserve">". בביקור האחרון, "תיעוד 9", מיום 20.2.20, שעה 20:08, כבר אין התייחסות למצב הרפואי למעט שיחה עם אשתו של </w:t>
      </w:r>
      <w:r w:rsidR="00CC6733">
        <w:rPr>
          <w:rFonts w:ascii="David" w:eastAsia="Calibri" w:hAnsi="David"/>
          <w:rtl/>
        </w:rPr>
        <w:t>ת.מ</w:t>
      </w:r>
      <w:r w:rsidRPr="00987F99">
        <w:rPr>
          <w:rFonts w:ascii="David" w:eastAsia="Calibri" w:hAnsi="David"/>
          <w:rtl/>
        </w:rPr>
        <w:t xml:space="preserve"> בדבר מצבו הקשה.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אמנם מצוין ב"תיעוד 4" ו-"תיעוד 5" שיפור במצבו של </w:t>
      </w:r>
      <w:r w:rsidR="00CC6733">
        <w:rPr>
          <w:rFonts w:ascii="David" w:eastAsia="Calibri" w:hAnsi="David"/>
          <w:rtl/>
        </w:rPr>
        <w:t>ת.מ</w:t>
      </w:r>
      <w:r w:rsidRPr="00987F99">
        <w:rPr>
          <w:rFonts w:ascii="David" w:eastAsia="Calibri" w:hAnsi="David"/>
          <w:rtl/>
        </w:rPr>
        <w:t xml:space="preserve">, אולם כפי הנלמד, מדובר ב"שיפור איטי" (ר' תיעוד 6) ובכל מקרה, זה כפי הנלמד נוגע למדדים שנלקחו ממנו (בכללם רמת החמצון) שלא היה בהם כדי לשנות מתמונת מצבו הרפואי הקשה.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כאן המקום להזכיר כי אין טענה לטיפול רפואי מוטעה שלא בתום לב. </w:t>
      </w:r>
      <w:r w:rsidR="00CC6733">
        <w:rPr>
          <w:rFonts w:ascii="David" w:eastAsia="Calibri" w:hAnsi="David"/>
          <w:rtl/>
        </w:rPr>
        <w:t>ת.מ</w:t>
      </w:r>
      <w:r w:rsidRPr="00987F99">
        <w:rPr>
          <w:rFonts w:ascii="David" w:eastAsia="Calibri" w:hAnsi="David"/>
          <w:rtl/>
        </w:rPr>
        <w:t xml:space="preserve"> אושפז במחלקה לטיפול נמרץ בשל כשל נשימתי כתוצאה מאספירציה (אותה לא הצליח לסלק הגם שהוא אדם צעיר בגיל נוכח פגיעת הראש), כשהוא סובל מחוסר יציבות המודינאמית. סמוך לפני מותו ביום 20.02.20, </w:t>
      </w:r>
      <w:r w:rsidR="00CC6733">
        <w:rPr>
          <w:rFonts w:ascii="David" w:eastAsia="Calibri" w:hAnsi="David"/>
          <w:rtl/>
        </w:rPr>
        <w:t>ת.מ</w:t>
      </w:r>
      <w:r w:rsidRPr="00987F99">
        <w:rPr>
          <w:rFonts w:ascii="David" w:eastAsia="Calibri" w:hAnsi="David"/>
          <w:rtl/>
        </w:rPr>
        <w:t xml:space="preserve"> עדיין סבל מכשל נשימתי והתדרדרות המודינאמית. כשזו תמונת הדברים, מסקנתו של המומחה בעינה עומדת הן ביחס לקשר הסיבתי והן ביחס לסיבת המוות.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ביחס לעובדה שבבדיקת אף נמצא אצל המנוח חיידק מסוג </w:t>
      </w:r>
      <w:r w:rsidRPr="00987F99">
        <w:rPr>
          <w:rFonts w:ascii="David" w:eastAsia="Calibri" w:hAnsi="David"/>
          <w:sz w:val="20"/>
          <w:szCs w:val="20"/>
        </w:rPr>
        <w:t>MRSA</w:t>
      </w:r>
      <w:r w:rsidRPr="00987F99">
        <w:rPr>
          <w:rFonts w:ascii="David" w:eastAsia="Calibri" w:hAnsi="David"/>
          <w:rtl/>
        </w:rPr>
        <w:t>, פרופ' מימון הסביר כי מדובר במצב של נשאות שכלל אינו קשור לסיבת המוות: "</w:t>
      </w:r>
      <w:r w:rsidRPr="00987F99">
        <w:rPr>
          <w:rFonts w:ascii="David" w:eastAsia="Calibri" w:hAnsi="David"/>
          <w:b/>
          <w:bCs/>
          <w:rtl/>
        </w:rPr>
        <w:t>אתה בודק את האף אתה מוצא שהבן אדם נשא לחיידק מסוים, זה לא אומר, אין לזה שום משמעות קלינית חוץ מזה שאתה נשא של החיידק</w:t>
      </w:r>
      <w:r w:rsidRPr="00987F99">
        <w:rPr>
          <w:rFonts w:ascii="David" w:eastAsia="Calibri" w:hAnsi="David"/>
          <w:rtl/>
        </w:rPr>
        <w:t>" (עמ' 47); "</w:t>
      </w:r>
      <w:r w:rsidRPr="00987F99">
        <w:rPr>
          <w:rFonts w:ascii="David" w:eastAsia="Calibri" w:hAnsi="David"/>
          <w:b/>
          <w:bCs/>
          <w:rtl/>
        </w:rPr>
        <w:t xml:space="preserve">זה חלק מהסיקור שהם עושים לחולים שנכנסים אליהם, ויכול להיות שזה חלק מהסיקור </w:t>
      </w:r>
      <w:r w:rsidRPr="00987F99">
        <w:rPr>
          <w:rFonts w:ascii="David" w:eastAsia="Calibri" w:hAnsi="David"/>
          <w:b/>
          <w:bCs/>
          <w:rtl/>
        </w:rPr>
        <w:lastRenderedPageBreak/>
        <w:t>שאנחנו ביצענו בעת שהוא נכנס למחלקה, זה נהלים של בית החולים, נהלי סיקור שמטרתם לייצר בידודים לחולים שהם נשאים לחיידקים ספציפיים</w:t>
      </w:r>
      <w:r w:rsidRPr="00987F99">
        <w:rPr>
          <w:rFonts w:ascii="David" w:eastAsia="Calibri" w:hAnsi="David"/>
          <w:rtl/>
        </w:rPr>
        <w:t xml:space="preserve">" (עמ' 48). הסבר זה של פרופ' מימון תואם את המופיע בת/27 (סיכום אשפוז של </w:t>
      </w:r>
      <w:r w:rsidR="00CC6733">
        <w:rPr>
          <w:rFonts w:ascii="David" w:eastAsia="Calibri" w:hAnsi="David"/>
          <w:rtl/>
        </w:rPr>
        <w:t>ת.מ</w:t>
      </w:r>
      <w:r w:rsidRPr="00987F99">
        <w:rPr>
          <w:rFonts w:ascii="David" w:eastAsia="Calibri" w:hAnsi="David"/>
          <w:rtl/>
        </w:rPr>
        <w:t xml:space="preserve"> מיום 4.5.18) שבו מצוין כי הוא נשא של חיידק עמיד מסוג </w:t>
      </w:r>
      <w:r w:rsidRPr="00987F99">
        <w:rPr>
          <w:rFonts w:ascii="David" w:eastAsia="Calibri" w:hAnsi="David"/>
          <w:sz w:val="20"/>
          <w:szCs w:val="20"/>
        </w:rPr>
        <w:t>MRSA</w:t>
      </w:r>
      <w:r w:rsidRPr="00987F99">
        <w:rPr>
          <w:rFonts w:ascii="David" w:eastAsia="Calibri" w:hAnsi="David"/>
          <w:rtl/>
        </w:rPr>
        <w:t xml:space="preserve"> עפ"י דגימה שנלקחה ממנו ביום 31.10.17. ממצא זה נמצא תחת הכותרת "מחלות מדבקות וחיידקים עמידים".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לא מצאנו בעובדה שפרופ' מימון היה מנהל המחלקה בה טופל </w:t>
      </w:r>
      <w:r w:rsidR="008E5FF0">
        <w:rPr>
          <w:rFonts w:ascii="David" w:eastAsia="Calibri" w:hAnsi="David"/>
          <w:rtl/>
        </w:rPr>
        <w:t>המנוח</w:t>
      </w:r>
      <w:r w:rsidRPr="00987F99">
        <w:rPr>
          <w:rFonts w:ascii="David" w:eastAsia="Calibri" w:hAnsi="David"/>
          <w:rtl/>
        </w:rPr>
        <w:t xml:space="preserve">, כמו גם בהיכרות שהייתה לו עם משפחתו של </w:t>
      </w:r>
      <w:r w:rsidR="008E5FF0">
        <w:rPr>
          <w:rFonts w:ascii="David" w:eastAsia="Calibri" w:hAnsi="David"/>
          <w:rtl/>
        </w:rPr>
        <w:t>המנוח</w:t>
      </w:r>
      <w:r w:rsidRPr="00987F99">
        <w:rPr>
          <w:rFonts w:ascii="David" w:eastAsia="Calibri" w:hAnsi="David"/>
          <w:rtl/>
        </w:rPr>
        <w:t xml:space="preserve">, ככזו הפוסלת אותו מלשמש כעד מומחה. זהו נתון שעל בית המשפט לשים לנגד עיניו ולקחתו בחשבון ואולם, אין בו ללמד כי מלכתחילה מעיד בפני בית המשפט עד שאינו אובייקטיבי ועל בית המשפט לפסול את ממצאיו אך בשל כך. מלכתחילה, הקשר בין פרופ' מימון למשפחתו של </w:t>
      </w:r>
      <w:r w:rsidR="008E5FF0">
        <w:rPr>
          <w:rFonts w:ascii="David" w:eastAsia="Calibri" w:hAnsi="David"/>
          <w:rtl/>
        </w:rPr>
        <w:t>המנוח</w:t>
      </w:r>
      <w:r w:rsidRPr="00987F99">
        <w:rPr>
          <w:rFonts w:ascii="David" w:eastAsia="Calibri" w:hAnsi="David"/>
          <w:rtl/>
        </w:rPr>
        <w:t xml:space="preserve"> נרקם בזיקה להיותו הרופא המטפל ולא בהקשר אחר. בנוסף, כפי שציינו בפתח פרק זה, הידיעה האישית של פרופ' מימון בדבר טיב חבלתו של </w:t>
      </w:r>
      <w:r w:rsidR="008E5FF0">
        <w:rPr>
          <w:rFonts w:ascii="David" w:eastAsia="Calibri" w:hAnsi="David"/>
          <w:rtl/>
        </w:rPr>
        <w:t>המנוח</w:t>
      </w:r>
      <w:r w:rsidRPr="00987F99">
        <w:rPr>
          <w:rFonts w:ascii="David" w:eastAsia="Calibri" w:hAnsi="David"/>
          <w:rtl/>
        </w:rPr>
        <w:t xml:space="preserve">, הטיפול שניתן לו כמו גם העדות מכלי ראשון לגבי אותה אספירציה מסיבית שהביאה את </w:t>
      </w:r>
      <w:r w:rsidR="008E5FF0">
        <w:rPr>
          <w:rFonts w:ascii="David" w:eastAsia="Calibri" w:hAnsi="David"/>
          <w:rtl/>
        </w:rPr>
        <w:t>המנוח</w:t>
      </w:r>
      <w:r w:rsidRPr="00987F99">
        <w:rPr>
          <w:rFonts w:ascii="David" w:eastAsia="Calibri" w:hAnsi="David"/>
          <w:rtl/>
        </w:rPr>
        <w:t xml:space="preserve"> למצב של כשל נשימתי, הנה בבחינת יתרון משמעותי ולא חיסרון. יתרה מכך, קבלת טענה מעין זו תביא למצב אבסורדי שבו כל אימת שרופא יתבקש להעיד לגבי טיב טיפול שהעניק לחולה, עדותו תפסל באופן אוטומטי או תיחשד ככזו שמוטה אינהרנטית לצד מסוים. נזכיר כי לא נטען וממילא גם לא הובאה ראשית ראייה לגבי פגם שנפל בטיפול שהוענק ל</w:t>
      </w:r>
      <w:r w:rsidR="008E5FF0">
        <w:rPr>
          <w:rFonts w:ascii="David" w:eastAsia="Calibri" w:hAnsi="David"/>
          <w:rtl/>
        </w:rPr>
        <w:t>המנוח</w:t>
      </w:r>
      <w:r w:rsidRPr="00987F99">
        <w:rPr>
          <w:rFonts w:ascii="David" w:eastAsia="Calibri" w:hAnsi="David"/>
          <w:rtl/>
        </w:rPr>
        <w:t xml:space="preserve"> באופן שיביא את המומחה להטות את מסקנותיו אך בשל כך. לא למיותר להוסיף כי המומחה לא הסתיר ולא הצטדק בנוגע לקשר שנרקם בינו לבין </w:t>
      </w:r>
      <w:r w:rsidR="008E5FF0">
        <w:rPr>
          <w:rFonts w:ascii="David" w:eastAsia="Calibri" w:hAnsi="David"/>
          <w:rtl/>
        </w:rPr>
        <w:t>המנוח</w:t>
      </w:r>
      <w:r w:rsidRPr="00987F99">
        <w:rPr>
          <w:rFonts w:ascii="David" w:eastAsia="Calibri" w:hAnsi="David"/>
          <w:rtl/>
        </w:rPr>
        <w:t xml:space="preserve"> ומשפחתו עם השנים. נתון זה נפרש בפני בית המשפט מיוזמתו ומתיישב עם הרושם הכללי החיובי החולש על מכלול עדותו.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מעבר לכל אלה, חוות דעתו של פרופ' מימון מתיישבת גם עם הנתונים הבאים שאינם שנויים במחלוקת, עומדים בפני עצמם, ומשתלבים היטב על בסיס מבחני היגי</w:t>
      </w:r>
      <w:r w:rsidR="008E5FF0">
        <w:rPr>
          <w:rFonts w:ascii="David" w:eastAsia="Calibri" w:hAnsi="David"/>
          <w:rtl/>
        </w:rPr>
        <w:t>ון ושכל ישר עם המסקנה אליה הגיע</w:t>
      </w:r>
      <w:r w:rsidRPr="00987F99">
        <w:rPr>
          <w:rFonts w:ascii="David" w:eastAsia="Calibri" w:hAnsi="David"/>
          <w:rtl/>
        </w:rPr>
        <w:t xml:space="preserve">. ובמה דברים אמורים.  </w:t>
      </w:r>
    </w:p>
    <w:p w:rsidR="00987F99" w:rsidRPr="00987F99" w:rsidRDefault="008E5FF0" w:rsidP="00987F99">
      <w:pPr>
        <w:numPr>
          <w:ilvl w:val="0"/>
          <w:numId w:val="10"/>
        </w:numPr>
        <w:spacing w:before="120" w:after="120" w:line="360" w:lineRule="auto"/>
        <w:contextualSpacing/>
        <w:jc w:val="both"/>
        <w:rPr>
          <w:rFonts w:ascii="David" w:eastAsia="Calibri" w:hAnsi="David"/>
          <w:rtl/>
        </w:rPr>
      </w:pPr>
      <w:r>
        <w:rPr>
          <w:rFonts w:ascii="David" w:eastAsia="Calibri" w:hAnsi="David"/>
          <w:rtl/>
        </w:rPr>
        <w:t>המנוח</w:t>
      </w:r>
      <w:r w:rsidR="00987F99" w:rsidRPr="00987F99">
        <w:rPr>
          <w:rFonts w:ascii="David" w:eastAsia="Calibri" w:hAnsi="David"/>
          <w:rtl/>
        </w:rPr>
        <w:t xml:space="preserve"> היה בן 39 בעת שנורה בראשו.</w:t>
      </w:r>
    </w:p>
    <w:p w:rsidR="00987F99" w:rsidRPr="00987F99" w:rsidRDefault="00987F99" w:rsidP="00987F99">
      <w:pPr>
        <w:numPr>
          <w:ilvl w:val="0"/>
          <w:numId w:val="10"/>
        </w:numPr>
        <w:spacing w:before="120" w:after="120" w:line="360" w:lineRule="auto"/>
        <w:contextualSpacing/>
        <w:jc w:val="both"/>
        <w:rPr>
          <w:rFonts w:ascii="David" w:eastAsia="Calibri" w:hAnsi="David"/>
          <w:rtl/>
        </w:rPr>
      </w:pPr>
      <w:r w:rsidRPr="00987F99">
        <w:rPr>
          <w:rFonts w:ascii="David" w:eastAsia="Calibri" w:hAnsi="David"/>
          <w:rtl/>
        </w:rPr>
        <w:t xml:space="preserve">עד לרגע בו נורה, </w:t>
      </w:r>
      <w:r w:rsidR="008E5FF0">
        <w:rPr>
          <w:rFonts w:ascii="David" w:eastAsia="Calibri" w:hAnsi="David"/>
          <w:rtl/>
        </w:rPr>
        <w:t>המנוח</w:t>
      </w:r>
      <w:r w:rsidRPr="00987F99">
        <w:rPr>
          <w:rFonts w:ascii="David" w:eastAsia="Calibri" w:hAnsi="David"/>
          <w:rtl/>
        </w:rPr>
        <w:t xml:space="preserve"> היה אדם בריא שלא סבל ממחלות כרוניות או ממחלות בכלל. אדרבא, אשתו תיארה אותו כספורטאי, פעיל, אדם חזק "לא ביקר במרפאה מעולם, אולי פעם אחת הייתה לו דלקת גרון...".</w:t>
      </w:r>
      <w:r w:rsidRPr="00987F99">
        <w:rPr>
          <w:rFonts w:ascii="David" w:eastAsia="Calibri" w:hAnsi="David"/>
        </w:rPr>
        <w:t xml:space="preserve"> </w:t>
      </w:r>
    </w:p>
    <w:p w:rsidR="00987F99" w:rsidRPr="00987F99" w:rsidRDefault="00987F99" w:rsidP="00987F99">
      <w:pPr>
        <w:numPr>
          <w:ilvl w:val="0"/>
          <w:numId w:val="10"/>
        </w:numPr>
        <w:spacing w:before="120" w:after="120" w:line="360" w:lineRule="auto"/>
        <w:contextualSpacing/>
        <w:jc w:val="both"/>
        <w:rPr>
          <w:rFonts w:ascii="David" w:eastAsia="Calibri" w:hAnsi="David"/>
        </w:rPr>
      </w:pPr>
      <w:r w:rsidRPr="00987F99">
        <w:rPr>
          <w:rFonts w:ascii="David" w:eastAsia="Calibri" w:hAnsi="David"/>
          <w:rtl/>
        </w:rPr>
        <w:t>חבלת הראש שנגרמה ל</w:t>
      </w:r>
      <w:r w:rsidR="008E5FF0">
        <w:rPr>
          <w:rFonts w:ascii="David" w:eastAsia="Calibri" w:hAnsi="David"/>
          <w:rtl/>
        </w:rPr>
        <w:t>מנוח</w:t>
      </w:r>
      <w:r w:rsidRPr="00987F99">
        <w:rPr>
          <w:rFonts w:ascii="David" w:eastAsia="Calibri" w:hAnsi="David"/>
          <w:rtl/>
        </w:rPr>
        <w:t xml:space="preserve"> כתוצאה מהירי בראשו הייתה חבלה קשה שהסבה לו נזק קשה ביותר. </w:t>
      </w:r>
    </w:p>
    <w:p w:rsidR="00987F99" w:rsidRPr="00987F99" w:rsidRDefault="00987F99" w:rsidP="00987F99">
      <w:pPr>
        <w:numPr>
          <w:ilvl w:val="0"/>
          <w:numId w:val="10"/>
        </w:numPr>
        <w:spacing w:before="120" w:after="120" w:line="360" w:lineRule="auto"/>
        <w:contextualSpacing/>
        <w:jc w:val="both"/>
        <w:rPr>
          <w:rFonts w:ascii="David" w:eastAsia="Calibri" w:hAnsi="David"/>
          <w:rtl/>
        </w:rPr>
      </w:pPr>
      <w:r w:rsidRPr="00987F99">
        <w:rPr>
          <w:rFonts w:ascii="David" w:eastAsia="Calibri" w:hAnsi="David"/>
          <w:rtl/>
        </w:rPr>
        <w:t xml:space="preserve">גם אם חייו של </w:t>
      </w:r>
      <w:r w:rsidR="00CC6733">
        <w:rPr>
          <w:rFonts w:ascii="David" w:eastAsia="Calibri" w:hAnsi="David"/>
          <w:rtl/>
        </w:rPr>
        <w:t>ת.מ</w:t>
      </w:r>
      <w:r w:rsidRPr="00987F99">
        <w:rPr>
          <w:rFonts w:ascii="David" w:eastAsia="Calibri" w:hAnsi="David"/>
          <w:rtl/>
        </w:rPr>
        <w:t xml:space="preserve"> בסופם של דברים ניצלו, בפועל חבלת הראש הביאה לכך שהוא סבל ממומים קשים. </w:t>
      </w:r>
      <w:r w:rsidR="00CC6733">
        <w:rPr>
          <w:rFonts w:ascii="David" w:eastAsia="Calibri" w:hAnsi="David"/>
          <w:rtl/>
        </w:rPr>
        <w:t>ת.מ</w:t>
      </w:r>
      <w:r w:rsidRPr="00987F99">
        <w:rPr>
          <w:rFonts w:ascii="David" w:eastAsia="Calibri" w:hAnsi="David"/>
          <w:rtl/>
        </w:rPr>
        <w:t xml:space="preserve"> הפך, בעקבות פגיעת הירי בראשו, הלכה למעשה לאדם סיעודי התלוי לחלוטין בסביבתו. </w:t>
      </w:r>
      <w:r w:rsidR="00CC6733">
        <w:rPr>
          <w:rFonts w:ascii="David" w:eastAsia="Calibri" w:hAnsi="David"/>
          <w:rtl/>
        </w:rPr>
        <w:t>ת.מ</w:t>
      </w:r>
      <w:r w:rsidRPr="00987F99">
        <w:rPr>
          <w:rFonts w:ascii="David" w:eastAsia="Calibri" w:hAnsi="David"/>
          <w:rtl/>
        </w:rPr>
        <w:t xml:space="preserve"> היה מרותק למיטתו, סבל מעיוורון, הוא לא יכול היה לשלוט באופן </w:t>
      </w:r>
      <w:r w:rsidRPr="00987F99">
        <w:rPr>
          <w:rFonts w:ascii="David" w:eastAsia="Calibri" w:hAnsi="David"/>
          <w:rtl/>
        </w:rPr>
        <w:lastRenderedPageBreak/>
        <w:t xml:space="preserve">עצמאי בדרכי הנשימה העליונות ולכן נפתח לו קנה ישיר בגרונו לצורך ביצוע סקשיין וניקוי ההפרשות. ההזנה שלו נעשתה באמצעות פג, היינו באמצעות צינורית שאליה היה מוכנס האוכל בצורה גושית או נוזלית (ור' הפירוט בתיעוד הרפואי בת/21-ת/28). </w:t>
      </w:r>
    </w:p>
    <w:p w:rsidR="00987F99" w:rsidRPr="00987F99" w:rsidRDefault="00987F99" w:rsidP="00987F99">
      <w:pPr>
        <w:numPr>
          <w:ilvl w:val="0"/>
          <w:numId w:val="10"/>
        </w:numPr>
        <w:spacing w:before="120" w:after="120" w:line="360" w:lineRule="auto"/>
        <w:contextualSpacing/>
        <w:jc w:val="both"/>
        <w:rPr>
          <w:rFonts w:ascii="David" w:eastAsia="Calibri" w:hAnsi="David"/>
          <w:rtl/>
        </w:rPr>
      </w:pPr>
      <w:r w:rsidRPr="00987F99">
        <w:rPr>
          <w:rFonts w:ascii="David" w:eastAsia="Calibri" w:hAnsi="David"/>
          <w:rtl/>
        </w:rPr>
        <w:t xml:space="preserve">גם אם הייתה הטבה מסוימת במצבו של </w:t>
      </w:r>
      <w:r w:rsidR="00CC6733">
        <w:rPr>
          <w:rFonts w:ascii="David" w:eastAsia="Calibri" w:hAnsi="David"/>
          <w:rtl/>
        </w:rPr>
        <w:t>ת.מ</w:t>
      </w:r>
      <w:r w:rsidRPr="00987F99">
        <w:rPr>
          <w:rFonts w:ascii="David" w:eastAsia="Calibri" w:hAnsi="David"/>
          <w:rtl/>
        </w:rPr>
        <w:t xml:space="preserve"> במהלך השנים, הרי שזו הייתה ב"שולי הדברים", ולא היה בה כלל לשנות מהותית ממצבו הסיעודי הקשה, בדגש על אותם פרמטרים הנוגעים למנגנון המוות המתואר, היינו שכיבה תמידית, נשימה דרך קנה הנשימה, קושי לשלוט בדרכי האוויר לצד קיומן של אספירציות חוזרות בשל השכיבה הממושכת ופגיעת הראש.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נדמה כי יותר משיש לתהות על הקשר הסיבתי בין הירייה בראשו למותו, יש "להעלות על נס" את הטיפול המסור אותו קיבל בבית החולים ובעיקר בביתו על ידי אשתו שהצליחו להותירו בחיים חרף הפגיעה הקשה ממנה סבל פרק זמן כה ממושך. טיפול זה היה בבחינת דחיית מותו מהפציעה.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לסיום פרק זה ולאו דווקא על פי סדר החשיבות, נציין כי אמנם אין חובה מצד ההגנה להגיש חוות דעת נגדית מקום בו מוגשת חוות דעת מומחה מטעם התביעה. במקרה שכזה, הדרך לפגום במשקלה של חוות דעת היא באמצעות חקירה נגדית שתקעקע את המסקנה אליה הגיע המומחה ובכך, תביא למסקנה כי המאשימה לא עמדה בנטל הרובץ לפתחה להוכחת הקשר הסיבתי. כך גם נהגה ההגנה בתיק שלפנינו.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אף שדרך התנהלות מעין זו אפשרית, נדמה כי בשעה שמדובר בעניינים אשר מצריכים מומחיות, נכון היה להיעזר בחוות דעת מומחה שיהיה בה משום משקל נגד לחוות דעתו המקצועית והחד משמעית של פרופ' מימון. יפים לענייננו דברי בית המשפט העליון </w:t>
      </w:r>
      <w:r w:rsidRPr="00987F99">
        <w:rPr>
          <w:rFonts w:ascii="Arial" w:eastAsia="David" w:hAnsi="Arial"/>
          <w:rtl/>
        </w:rPr>
        <w:t xml:space="preserve">בדנ"פ 9903/03 </w:t>
      </w:r>
      <w:r w:rsidRPr="00987F99">
        <w:rPr>
          <w:rFonts w:ascii="Arial" w:eastAsia="David" w:hAnsi="Arial"/>
          <w:b/>
          <w:bCs/>
          <w:rtl/>
        </w:rPr>
        <w:t>אבו חמאד נ' מדינת ישראל</w:t>
      </w:r>
      <w:r w:rsidRPr="00987F99">
        <w:rPr>
          <w:rFonts w:ascii="Arial" w:eastAsia="David" w:hAnsi="Arial"/>
          <w:rtl/>
        </w:rPr>
        <w:t xml:space="preserve"> (פורסם באר"ש, 19.12.04) שאף ש</w:t>
      </w:r>
      <w:r w:rsidRPr="00987F99">
        <w:rPr>
          <w:rFonts w:ascii="David" w:eastAsia="Calibri" w:hAnsi="David"/>
          <w:rtl/>
        </w:rPr>
        <w:t>נאמרו ביחס לחוות דעת בתחום ה-</w:t>
      </w:r>
      <w:r w:rsidRPr="00987F99">
        <w:rPr>
          <w:rFonts w:ascii="David" w:eastAsia="Calibri" w:hAnsi="David"/>
          <w:sz w:val="20"/>
          <w:szCs w:val="20"/>
        </w:rPr>
        <w:t>DNA</w:t>
      </w:r>
      <w:r w:rsidRPr="00987F99">
        <w:rPr>
          <w:rFonts w:ascii="David" w:eastAsia="Calibri" w:hAnsi="David"/>
          <w:rtl/>
        </w:rPr>
        <w:t xml:space="preserve"> רלוונטיים גם לעניינו:</w:t>
      </w:r>
    </w:p>
    <w:p w:rsidR="00987F99" w:rsidRPr="00987F99" w:rsidRDefault="00987F99" w:rsidP="00987F99">
      <w:pPr>
        <w:ind w:left="510" w:right="426"/>
        <w:jc w:val="both"/>
        <w:rPr>
          <w:rFonts w:ascii="Arial" w:eastAsia="David" w:hAnsi="Arial"/>
          <w:rtl/>
        </w:rPr>
      </w:pPr>
      <w:r w:rsidRPr="00987F99">
        <w:rPr>
          <w:rFonts w:ascii="Arial" w:eastAsia="David" w:hAnsi="Arial"/>
          <w:rtl/>
        </w:rPr>
        <w:t>"...</w:t>
      </w:r>
      <w:r w:rsidRPr="00987F99">
        <w:rPr>
          <w:rFonts w:ascii="Arial" w:eastAsia="David" w:hAnsi="Arial"/>
          <w:b/>
          <w:bCs/>
          <w:rtl/>
        </w:rPr>
        <w:t xml:space="preserve"> מי שהיה סניגורו אמנם חקר את המומחים. עם זאת, בחר שלא להביא מומחה מטעמו ואף ויתר על האפשרות שניתנה לו לערוך בדיקה גנטית עצמאית. כפועל יוצא מכך, לא הועמדה בפני בית-המשפט כל מחלוקת מקצועית שבה היה עליו לפסוק. בנסיבות אלו רשאי היה להניח, כי בהליכי ביצוען של הבדיקות הגנטיות לא נפל פגם וכי ממצאיהן נכונים...</w:t>
      </w:r>
      <w:r w:rsidRPr="00987F99">
        <w:rPr>
          <w:rFonts w:ascii="Arial" w:eastAsia="David" w:hAnsi="Arial"/>
          <w:rtl/>
        </w:rPr>
        <w:t>" (פסקה  9 להחלטתו של כב' הש' מצא).</w:t>
      </w:r>
    </w:p>
    <w:p w:rsidR="00987F99" w:rsidRPr="00987F99" w:rsidRDefault="00987F99" w:rsidP="00987F99">
      <w:pPr>
        <w:spacing w:before="120" w:after="120"/>
        <w:jc w:val="both"/>
        <w:rPr>
          <w:rFonts w:ascii="David" w:eastAsia="Calibri" w:hAnsi="David"/>
          <w:b/>
          <w:bCs/>
          <w:u w:val="single"/>
          <w:rtl/>
        </w:rPr>
      </w:pP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b/>
          <w:bCs/>
          <w:u w:val="single"/>
          <w:rtl/>
        </w:rPr>
        <w:t>לסיכום ביניים:</w:t>
      </w:r>
      <w:r w:rsidRPr="00987F99">
        <w:rPr>
          <w:rFonts w:ascii="David" w:eastAsia="Calibri" w:hAnsi="David"/>
          <w:rtl/>
        </w:rPr>
        <w:t xml:space="preserve"> הוכח בפנינו כי הירייה בראש אותה ירה הנאשם בראשו של </w:t>
      </w:r>
      <w:r w:rsidR="00CC6733">
        <w:rPr>
          <w:rFonts w:ascii="David" w:eastAsia="Calibri" w:hAnsi="David"/>
          <w:rtl/>
        </w:rPr>
        <w:t>ת.מ</w:t>
      </w:r>
      <w:r w:rsidRPr="00987F99">
        <w:rPr>
          <w:rFonts w:ascii="David" w:eastAsia="Calibri" w:hAnsi="David"/>
          <w:rtl/>
        </w:rPr>
        <w:t xml:space="preserve"> היא בבחינת "סיבה מהותית והכרחית, מנקודת ראות פיזית-אובייקטיבית להתרחשות התוצאה"; התנהגותו של הנאשם היוותה "סיבה-בלעדיה-אין למוות" ויש לראותה "בעלת תרומה הכרחית להתרחשות התוצאה הקטלנית כפי שזו ארעה בפועל" (ר' עניין שולמן). </w:t>
      </w:r>
    </w:p>
    <w:p w:rsidR="00CC6733" w:rsidRDefault="00CC6733" w:rsidP="00987F99">
      <w:pPr>
        <w:spacing w:before="120" w:after="120" w:line="360" w:lineRule="auto"/>
        <w:jc w:val="center"/>
        <w:rPr>
          <w:rFonts w:ascii="David" w:eastAsia="Calibri" w:hAnsi="David"/>
          <w:b/>
          <w:bCs/>
          <w:u w:val="single"/>
          <w:rtl/>
        </w:rPr>
      </w:pPr>
    </w:p>
    <w:p w:rsidR="00CC6733" w:rsidRDefault="00CC6733" w:rsidP="00987F99">
      <w:pPr>
        <w:spacing w:before="120" w:after="120" w:line="360" w:lineRule="auto"/>
        <w:jc w:val="center"/>
        <w:rPr>
          <w:rFonts w:ascii="David" w:eastAsia="Calibri" w:hAnsi="David"/>
          <w:b/>
          <w:bCs/>
          <w:u w:val="single"/>
          <w:rtl/>
        </w:rPr>
      </w:pPr>
    </w:p>
    <w:p w:rsidR="00987F99" w:rsidRPr="00987F99" w:rsidRDefault="00987F99" w:rsidP="00987F99">
      <w:pPr>
        <w:spacing w:before="120" w:after="120" w:line="360" w:lineRule="auto"/>
        <w:jc w:val="center"/>
        <w:rPr>
          <w:rFonts w:ascii="David" w:eastAsia="Calibri" w:hAnsi="David"/>
          <w:b/>
          <w:bCs/>
          <w:u w:val="single"/>
          <w:rtl/>
        </w:rPr>
      </w:pPr>
      <w:r w:rsidRPr="00987F99">
        <w:rPr>
          <w:rFonts w:ascii="David" w:eastAsia="Calibri" w:hAnsi="David"/>
          <w:b/>
          <w:bCs/>
          <w:u w:val="single"/>
          <w:rtl/>
        </w:rPr>
        <w:lastRenderedPageBreak/>
        <w:t>קשר סיבתי משפטי:</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בכך שהוכח קיומו של קשר סיבתי עובדתי, אין סגי, שכן יש צורך בהוכחתו של קשר סיבתי משפטי, היינו האם המזיק צפה או שהיה צריך לצפות את תוצאות התנהגותו. בעוד שבחינת הקשר הסיבתי העובדתי הנה מנקודת ראות פיזית, הבחינה של הקשר הסיבתי המשפטי היא נורמטיבית. המבחן אותו יש להחיל להוכחת רכיב זה הנו "מבחן הצפיות", היינו, "</w:t>
      </w:r>
      <w:r w:rsidRPr="00987F99">
        <w:rPr>
          <w:rFonts w:ascii="David" w:eastAsia="Calibri" w:hAnsi="David"/>
          <w:b/>
          <w:bCs/>
          <w:rtl/>
        </w:rPr>
        <w:t xml:space="preserve">די בכך שניתן היה </w:t>
      </w:r>
      <w:r w:rsidRPr="00987F99">
        <w:rPr>
          <w:rFonts w:ascii="David" w:eastAsia="Calibri" w:hAnsi="David"/>
          <w:b/>
          <w:bCs/>
          <w:u w:val="single"/>
          <w:rtl/>
        </w:rPr>
        <w:t>לצפות באורח סביר את התוצאה הקטלנית</w:t>
      </w:r>
      <w:r w:rsidRPr="00987F99">
        <w:rPr>
          <w:rFonts w:ascii="David" w:eastAsia="Calibri" w:hAnsi="David"/>
          <w:b/>
          <w:bCs/>
          <w:rtl/>
        </w:rPr>
        <w:t xml:space="preserve"> </w:t>
      </w:r>
      <w:r w:rsidRPr="00987F99">
        <w:rPr>
          <w:rFonts w:ascii="David" w:eastAsia="Calibri" w:hAnsi="David"/>
          <w:b/>
          <w:bCs/>
          <w:u w:val="single"/>
          <w:rtl/>
        </w:rPr>
        <w:t>ושצריך היה לצפותה</w:t>
      </w:r>
      <w:r w:rsidRPr="00987F99">
        <w:rPr>
          <w:rFonts w:ascii="David" w:eastAsia="Calibri" w:hAnsi="David"/>
          <w:b/>
          <w:bCs/>
          <w:rtl/>
        </w:rPr>
        <w:t xml:space="preserve">. הדרישה לצפיות מופנית לתוצאה הקטלנית, לאו דווקא בדרך המסוימת שאליה התכוון המבצע, </w:t>
      </w:r>
      <w:r w:rsidRPr="00987F99">
        <w:rPr>
          <w:rFonts w:ascii="David" w:eastAsia="Calibri" w:hAnsi="David"/>
          <w:b/>
          <w:bCs/>
          <w:u w:val="single"/>
          <w:rtl/>
        </w:rPr>
        <w:t xml:space="preserve">לכן, גם אם התוצאה </w:t>
      </w:r>
      <w:r w:rsidRPr="00987F99">
        <w:rPr>
          <w:rFonts w:ascii="David" w:eastAsia="Calibri" w:hAnsi="David"/>
          <w:b/>
          <w:bCs/>
          <w:rtl/>
        </w:rPr>
        <w:t>הצפויה התרחשה באופן שונה מהצפוי, אין בכך כדי לנתק את הקשר הסיבתי</w:t>
      </w:r>
      <w:r w:rsidRPr="00987F99">
        <w:rPr>
          <w:rFonts w:ascii="David" w:eastAsia="Calibri" w:hAnsi="David"/>
          <w:rtl/>
        </w:rPr>
        <w:t>" (פס' 4 ל</w:t>
      </w:r>
      <w:r w:rsidRPr="00987F99">
        <w:rPr>
          <w:rFonts w:ascii="David" w:eastAsia="Calibri" w:hAnsi="David"/>
          <w:b/>
          <w:bCs/>
          <w:rtl/>
        </w:rPr>
        <w:t>עניין מייסרה</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יישום האמור במבחן זה למקרה שלפנינו נדמה כי אינו מעורר קושי רב, ולא בכדי גם ההגנה כיוונה עיקר טיעוניה לקשר הסיבתי העובדתי ולא לזה המשפטי. אף שכך, ובקצרה, נציין כי ברי לכל בר בי רב, כי מי אשר יורה מטווח קצר ירייה לעבר ראשו של אדם, צריך לצפות כי יגרום לתוצאה קטלנית. לכך יש להוסיף כי היסוד הנפשי הנלווה לעבירת הרצח משקף כוונה של המבצע להתממשות התוצאה. המודעות הסובייקטיבית מביאה לכך שהקשר הסיבתי המשפטי נבלע בתוך היסוד הנפשי של עבירת הרצח. מתוך שכך, לו </w:t>
      </w:r>
      <w:r w:rsidR="00CC6733">
        <w:rPr>
          <w:rFonts w:ascii="David" w:eastAsia="Calibri" w:hAnsi="David"/>
          <w:rtl/>
        </w:rPr>
        <w:t>ת.מ</w:t>
      </w:r>
      <w:r w:rsidRPr="00987F99">
        <w:rPr>
          <w:rFonts w:ascii="David" w:eastAsia="Calibri" w:hAnsi="David"/>
          <w:rtl/>
        </w:rPr>
        <w:t xml:space="preserve"> היה מת באופן מידי לאחר שנורה בראשו, לא הייתה מתעוררת כל שאלה.</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הואיל ובמקרה הנדון חלפה תקופה ממושכת בין הירי למוות, יש לשאול האם הנאשם יכול וצריך היה לצפות כי מעשיו יביאו לכך ש</w:t>
      </w:r>
      <w:r w:rsidR="00CC6733">
        <w:rPr>
          <w:rFonts w:ascii="David" w:eastAsia="Calibri" w:hAnsi="David"/>
          <w:rtl/>
        </w:rPr>
        <w:t>ת.מ</w:t>
      </w:r>
      <w:r w:rsidRPr="00987F99">
        <w:rPr>
          <w:rFonts w:ascii="David" w:eastAsia="Calibri" w:hAnsi="David"/>
          <w:rtl/>
        </w:rPr>
        <w:t xml:space="preserve"> לא ימות באופן מידי אלא בחלוף חמש שנים וכתוצאה מסיבוכים הנובעים ממצבו.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u w:val="single"/>
          <w:rtl/>
        </w:rPr>
        <w:t>התשובה לכך חיובית</w:t>
      </w:r>
      <w:r w:rsidRPr="00987F99">
        <w:rPr>
          <w:rFonts w:ascii="David" w:eastAsia="Calibri" w:hAnsi="David"/>
          <w:rtl/>
        </w:rPr>
        <w:t>. ונסביר.</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בהתאם לפסיקה, ניתוק הקשר הסיבתי - משפטי </w:t>
      </w:r>
      <w:r w:rsidRPr="00987F99">
        <w:rPr>
          <w:rFonts w:ascii="David" w:eastAsia="Calibri" w:hAnsi="David"/>
          <w:u w:val="single"/>
          <w:rtl/>
        </w:rPr>
        <w:t>הגם שהתוצאה הקטלנית</w:t>
      </w:r>
      <w:r w:rsidRPr="00987F99">
        <w:rPr>
          <w:rFonts w:ascii="David" w:eastAsia="Calibri" w:hAnsi="David"/>
          <w:rtl/>
        </w:rPr>
        <w:t xml:space="preserve"> הייתה צפויה ייעשה: "</w:t>
      </w:r>
      <w:r w:rsidRPr="00987F99">
        <w:rPr>
          <w:rFonts w:ascii="David" w:eastAsia="Calibri" w:hAnsi="David"/>
          <w:b/>
          <w:bCs/>
          <w:rtl/>
        </w:rPr>
        <w:t xml:space="preserve">רק </w:t>
      </w:r>
      <w:r w:rsidRPr="00987F99">
        <w:rPr>
          <w:rFonts w:ascii="David" w:eastAsia="Calibri" w:hAnsi="David"/>
          <w:b/>
          <w:bCs/>
          <w:u w:val="single"/>
          <w:rtl/>
        </w:rPr>
        <w:t>במקרים נדירים</w:t>
      </w:r>
      <w:r w:rsidRPr="00987F99">
        <w:rPr>
          <w:rFonts w:ascii="David" w:eastAsia="Calibri" w:hAnsi="David"/>
          <w:b/>
          <w:bCs/>
          <w:rtl/>
        </w:rPr>
        <w:t xml:space="preserve"> שהתוצאה המכוונת הושגה בהם בדרך </w:t>
      </w:r>
      <w:r w:rsidRPr="00987F99">
        <w:rPr>
          <w:rFonts w:ascii="David" w:eastAsia="Calibri" w:hAnsi="David"/>
          <w:b/>
          <w:bCs/>
          <w:u w:val="single"/>
          <w:rtl/>
        </w:rPr>
        <w:t>אקראית</w:t>
      </w:r>
      <w:r w:rsidRPr="00987F99">
        <w:rPr>
          <w:rFonts w:ascii="David" w:eastAsia="Calibri" w:hAnsi="David"/>
          <w:b/>
          <w:bCs/>
          <w:rtl/>
        </w:rPr>
        <w:t xml:space="preserve"> </w:t>
      </w:r>
      <w:r w:rsidRPr="00987F99">
        <w:rPr>
          <w:rFonts w:ascii="David" w:eastAsia="Calibri" w:hAnsi="David"/>
          <w:b/>
          <w:bCs/>
          <w:u w:val="single"/>
          <w:rtl/>
        </w:rPr>
        <w:t>ועקיפה ביותר</w:t>
      </w:r>
      <w:r w:rsidRPr="00987F99">
        <w:rPr>
          <w:rFonts w:ascii="David" w:eastAsia="Calibri" w:hAnsi="David"/>
          <w:b/>
          <w:bCs/>
          <w:rtl/>
        </w:rPr>
        <w:t xml:space="preserve">, </w:t>
      </w:r>
      <w:r w:rsidRPr="00987F99">
        <w:rPr>
          <w:rFonts w:ascii="David" w:eastAsia="Calibri" w:hAnsi="David"/>
          <w:b/>
          <w:bCs/>
          <w:u w:val="single"/>
          <w:rtl/>
        </w:rPr>
        <w:t>וקיים פער גדול בין דרך האירוע</w:t>
      </w:r>
      <w:r w:rsidRPr="00987F99">
        <w:rPr>
          <w:rFonts w:ascii="David" w:eastAsia="Calibri" w:hAnsi="David"/>
          <w:b/>
          <w:bCs/>
          <w:rtl/>
        </w:rPr>
        <w:t xml:space="preserve"> – </w:t>
      </w:r>
      <w:r w:rsidRPr="00987F99">
        <w:rPr>
          <w:rFonts w:ascii="David" w:eastAsia="Calibri" w:hAnsi="David"/>
          <w:b/>
          <w:bCs/>
          <w:u w:val="single"/>
          <w:rtl/>
        </w:rPr>
        <w:t>כפי שניתן היה לצפות בעת המעשה</w:t>
      </w:r>
      <w:r w:rsidRPr="00987F99">
        <w:rPr>
          <w:rFonts w:ascii="David" w:eastAsia="Calibri" w:hAnsi="David"/>
          <w:b/>
          <w:bCs/>
          <w:rtl/>
        </w:rPr>
        <w:t xml:space="preserve"> – </w:t>
      </w:r>
      <w:r w:rsidRPr="00987F99">
        <w:rPr>
          <w:rFonts w:ascii="David" w:eastAsia="Calibri" w:hAnsi="David"/>
          <w:b/>
          <w:bCs/>
          <w:u w:val="single"/>
          <w:rtl/>
        </w:rPr>
        <w:t>לבין דרך האירוע שהתרחש בפועל</w:t>
      </w:r>
      <w:r w:rsidRPr="00987F99">
        <w:rPr>
          <w:rFonts w:ascii="David" w:eastAsia="Calibri" w:hAnsi="David"/>
          <w:b/>
          <w:bCs/>
          <w:rtl/>
        </w:rPr>
        <w:t>, יש מקום לדבר על העדר קשר סיבתי</w:t>
      </w:r>
      <w:r w:rsidRPr="00987F99">
        <w:rPr>
          <w:rFonts w:ascii="David" w:eastAsia="Calibri" w:hAnsi="David"/>
          <w:rtl/>
        </w:rPr>
        <w:t xml:space="preserve">" (ר' ע"פ 5870/01 </w:t>
      </w:r>
      <w:r w:rsidRPr="00987F99">
        <w:rPr>
          <w:rFonts w:ascii="David" w:eastAsia="Calibri" w:hAnsi="David"/>
          <w:b/>
          <w:bCs/>
          <w:rtl/>
        </w:rPr>
        <w:t>חסיין נ' מדינת ישראל</w:t>
      </w:r>
      <w:r w:rsidRPr="00987F99">
        <w:rPr>
          <w:rFonts w:ascii="David" w:eastAsia="Calibri" w:hAnsi="David"/>
          <w:rtl/>
        </w:rPr>
        <w:t xml:space="preserve"> [פסקה 22 לפסק דינו של כב' הש' אנגלרד](פורסם בנבו, 2.12.02).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איננו סבורים כי הדרך בה מצא </w:t>
      </w:r>
      <w:r w:rsidR="00CC6733">
        <w:rPr>
          <w:rFonts w:ascii="David" w:eastAsia="Calibri" w:hAnsi="David"/>
          <w:rtl/>
        </w:rPr>
        <w:t>ת.מ</w:t>
      </w:r>
      <w:r w:rsidRPr="00987F99">
        <w:rPr>
          <w:rFonts w:ascii="David" w:eastAsia="Calibri" w:hAnsi="David"/>
          <w:rtl/>
        </w:rPr>
        <w:t xml:space="preserve"> את מותו בסופם של דברים הנה "אקראית ועקיפה". אדרבא, האופן שבו מצא </w:t>
      </w:r>
      <w:r w:rsidR="00CC6733">
        <w:rPr>
          <w:rFonts w:ascii="David" w:eastAsia="Calibri" w:hAnsi="David"/>
          <w:rtl/>
        </w:rPr>
        <w:t>ת.מ</w:t>
      </w:r>
      <w:r w:rsidRPr="00987F99">
        <w:rPr>
          <w:rFonts w:ascii="David" w:eastAsia="Calibri" w:hAnsi="David"/>
          <w:rtl/>
        </w:rPr>
        <w:t xml:space="preserve"> את מותו מתיישבת היטב עם החבלה שנגרמה לו. מסקנתנו זו נסמכת על חוות דעתו של פרופ' מימון שתיאר מהלך רפואי שכיח בפציעות מעין אלה, אך לא רק.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ירי מטווח קצר בראשו של אדם באמצעות אקדח בקוטר 9 מ"מ, מביא על פי רוב למוות מיידי. גם באותם מקרים בהם הקורבן שורד את הירי, על פי רוב נגרמת לו פגיעה מוחית וחבלת ראש קשה. פגיעה מוחית משמעותה, פגיעה באותם פעולות וויטליות שאותו חלק במוח אחראי עליהם, בין אם מדובר בנשימה, ראיה, תנועה, דיבור ותפקודים קוגניטיביים. לדאבוננו, רבות מאותן פגיעות הנן צמיתות, מביאות לכך שאדם הופך באחת לחולה סיעודי המצוי בשכיבה תמידית ונזקק לתמיכה </w:t>
      </w:r>
      <w:r w:rsidRPr="00987F99">
        <w:rPr>
          <w:rFonts w:ascii="David" w:eastAsia="Calibri" w:hAnsi="David"/>
          <w:rtl/>
        </w:rPr>
        <w:lastRenderedPageBreak/>
        <w:t>חיצונית לביצוע פעולות בסיסיות. היווצרותן של דלקות ריאות חוזרות ונשנות כתוצאה משכיבה ממושכת וקושי לשלוט בדרכי הנשימה הן בבחינת תופעה שכיחה (ור' דוגמאות לכך בפרק הבא של הכרעת הדין).</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כך גם קרה בעניינו של </w:t>
      </w:r>
      <w:r w:rsidR="00CC6733">
        <w:rPr>
          <w:rFonts w:ascii="David" w:eastAsia="Calibri" w:hAnsi="David"/>
          <w:rtl/>
        </w:rPr>
        <w:t>ת.מ</w:t>
      </w:r>
      <w:r w:rsidRPr="00987F99">
        <w:rPr>
          <w:rFonts w:ascii="David" w:eastAsia="Calibri" w:hAnsi="David"/>
          <w:rtl/>
        </w:rPr>
        <w:t xml:space="preserve"> שגם אם שרד את הירייה בראשו, הוא נותר פצוע קשה, מרותק למיטה, עיוור, נזקק להזנה מלאכותית, ללא יכולת לדבר, נושם דרך קנה נשימה ומתקשה לסלק אספירציות מדרכי הנשימה העליונות. מצב רפואי שכזה בהכרח "מועד לפורענות" ויכול להביא לסיבוכים והתדרדרות במצב הרפואי שאינם נובעים ישירות מן הפגיעה הראשונית אלא מסיבוכים הנובעים מאותה פגיעה. </w:t>
      </w:r>
      <w:r w:rsidR="00CC6733">
        <w:rPr>
          <w:rFonts w:ascii="David" w:eastAsia="Calibri" w:hAnsi="David"/>
          <w:rtl/>
        </w:rPr>
        <w:t>ת.מ</w:t>
      </w:r>
      <w:r w:rsidRPr="00987F99">
        <w:rPr>
          <w:rFonts w:ascii="David" w:eastAsia="Calibri" w:hAnsi="David"/>
          <w:rtl/>
        </w:rPr>
        <w:t xml:space="preserve"> שרד את הירייה, וגם אם מצבו הרפואי לפרקים היה מיוצב, הרי שלא היה בכך כדי לשנות מעצם מצבו הפיזי הרעוע שנותר ככזה עד למותו. </w:t>
      </w:r>
    </w:p>
    <w:p w:rsidR="00987F99" w:rsidRPr="00987F99" w:rsidRDefault="00CC6733" w:rsidP="00987F99">
      <w:pPr>
        <w:spacing w:before="120" w:after="120" w:line="360" w:lineRule="auto"/>
        <w:jc w:val="both"/>
        <w:rPr>
          <w:rFonts w:ascii="David" w:eastAsia="Calibri" w:hAnsi="David"/>
          <w:rtl/>
        </w:rPr>
      </w:pPr>
      <w:r>
        <w:rPr>
          <w:rFonts w:ascii="David" w:eastAsia="Calibri" w:hAnsi="David"/>
          <w:rtl/>
        </w:rPr>
        <w:t>ת.מ</w:t>
      </w:r>
      <w:r w:rsidR="00987F99" w:rsidRPr="00987F99">
        <w:rPr>
          <w:rFonts w:ascii="David" w:eastAsia="Calibri" w:hAnsi="David"/>
          <w:rtl/>
        </w:rPr>
        <w:t xml:space="preserve"> הוחזק בחיים רבות בזכות הטיפול המסור של אשתו והגורמים הרפואיים שטיפלו בו. אלו האריכו את חייו אולם הביאו לכך שסבל רבות. היטיב לנסח זאת פרופ' מימון שבניגוד לכל מהות עבודתו כרופא האמון על הצלת חיים העיד בגילוי לב כי: "</w:t>
      </w:r>
      <w:r w:rsidR="00987F99" w:rsidRPr="00987F99">
        <w:rPr>
          <w:rFonts w:ascii="David" w:eastAsia="Calibri" w:hAnsi="David"/>
          <w:b/>
          <w:bCs/>
          <w:rtl/>
        </w:rPr>
        <w:t>כולנו הצטערנו שהוא לא מת בירי הראשון שהיה, החיים שלו היו חיי סבל נוראיים במשך כל השנים... עד למותו</w:t>
      </w:r>
      <w:r w:rsidR="00987F99"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קביעתנו הנורמטיבית היא כי הנאשם צפה והיה עליו לצפות כי במידה והירייה בראשו של </w:t>
      </w:r>
      <w:r w:rsidR="00CC6733">
        <w:rPr>
          <w:rFonts w:ascii="David" w:eastAsia="Calibri" w:hAnsi="David"/>
          <w:rtl/>
        </w:rPr>
        <w:t>ת.מ</w:t>
      </w:r>
      <w:r w:rsidRPr="00987F99">
        <w:rPr>
          <w:rFonts w:ascii="David" w:eastAsia="Calibri" w:hAnsi="David"/>
          <w:rtl/>
        </w:rPr>
        <w:t xml:space="preserve"> לא תביא למימוש רצונו להביא למותו באופן מידי, תוצאה קטלנית זו תתממש כתוצאה מסיבוכים רפואיים הקשורים לחבלת הראש שנגרמה לו. הנאשם אינו זכאי במקרה הנדון "ליהנות" מכך ש</w:t>
      </w:r>
      <w:r w:rsidR="00CC6733">
        <w:rPr>
          <w:rFonts w:ascii="David" w:eastAsia="Calibri" w:hAnsi="David"/>
          <w:rtl/>
        </w:rPr>
        <w:t>ת.מ</w:t>
      </w:r>
      <w:r w:rsidRPr="00987F99">
        <w:rPr>
          <w:rFonts w:ascii="David" w:eastAsia="Calibri" w:hAnsi="David"/>
          <w:rtl/>
        </w:rPr>
        <w:t xml:space="preserve"> שהיה אדם בריא חסון וגדול, "דבק בחיים" במשך כחמש שנים חרף פציעתו הקשה. </w:t>
      </w:r>
    </w:p>
    <w:p w:rsidR="00987F99" w:rsidRPr="00987F99" w:rsidRDefault="00987F99" w:rsidP="00987F99">
      <w:pPr>
        <w:spacing w:before="120" w:after="120" w:line="360" w:lineRule="auto"/>
        <w:jc w:val="center"/>
        <w:rPr>
          <w:rFonts w:ascii="David" w:eastAsia="Calibri" w:hAnsi="David"/>
          <w:b/>
          <w:bCs/>
          <w:u w:val="single"/>
          <w:rtl/>
        </w:rPr>
      </w:pPr>
      <w:r w:rsidRPr="00987F99">
        <w:rPr>
          <w:rFonts w:ascii="David" w:eastAsia="Calibri" w:hAnsi="David"/>
          <w:b/>
          <w:bCs/>
          <w:u w:val="single"/>
          <w:rtl/>
        </w:rPr>
        <w:t>פסיקה רלוונטית:</w:t>
      </w:r>
    </w:p>
    <w:p w:rsidR="00987F99" w:rsidRPr="00987F99" w:rsidRDefault="00987F99" w:rsidP="00A41D2A">
      <w:pPr>
        <w:spacing w:before="120" w:after="120" w:line="360" w:lineRule="auto"/>
        <w:jc w:val="both"/>
        <w:rPr>
          <w:rFonts w:ascii="David" w:eastAsia="Calibri" w:hAnsi="David"/>
          <w:rtl/>
        </w:rPr>
      </w:pPr>
      <w:r w:rsidRPr="00987F99">
        <w:rPr>
          <w:rFonts w:ascii="David" w:eastAsia="Calibri" w:hAnsi="David"/>
          <w:rtl/>
        </w:rPr>
        <w:t xml:space="preserve">הסיטואציה לה אנו נדרשים (מות קורבן שלא באופן מידי אלא בחלוף תקופה מאז נגרמה הפציעה)  אף שאינה שכיחה, אין לראותה כתקדימית ואף לא חריגה. עיון בפסיקה מלמד כי מקרים דומים, גם אם לא זהים למקרה שבפנינו, נדונו מספר פעמים על ידי בתי המשפט. כפי שיפורט, בחלק לא מבוטל מאותם מקרים דובר על חבלת ראש קשה שכתוצאה ממנה הקורבן הפך סיעודי, היה מרותק כתוצאה מכך חלה בדלקת ריאות שסופה מוות. ונפרט.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u w:val="single"/>
          <w:rtl/>
        </w:rPr>
        <w:t xml:space="preserve">בע"פ 178/65 </w:t>
      </w:r>
      <w:r w:rsidRPr="00987F99">
        <w:rPr>
          <w:rFonts w:ascii="David" w:eastAsia="Calibri" w:hAnsi="David"/>
          <w:b/>
          <w:bCs/>
          <w:u w:val="single"/>
          <w:rtl/>
        </w:rPr>
        <w:t>חיים אושה נ' היועץ המשפטי לממשלה, פ"ד יט(3) 154</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דובר על מערער שהכה את ראשה של אשתו מספר פעמים באמצעות טוריה. אשת המערער לא מתה באופן מיידי, אולם נותרה מחוסרת הכרה ובסופם של דברים, מתה כתוצאה מדלקת ריאות. במסגרת הערעור נטען על ידי ההגנה כי אין קשר סיבתי עובדתי בין החבלה לבין מותה של אשת המערער. בית המשפט העליון דחה טענה זו בציינו: "</w:t>
      </w:r>
      <w:r w:rsidRPr="00987F99">
        <w:rPr>
          <w:rFonts w:ascii="David" w:eastAsia="Calibri" w:hAnsi="David"/>
          <w:b/>
          <w:bCs/>
          <w:rtl/>
        </w:rPr>
        <w:t xml:space="preserve">כך אין ממש בטענתו של ב"כ המערער, כי לא הוכח הקשר הסיבתי בין המהלומות והמוות. המומחה ד"ר מאירסון מחבר חוות הדעת ת/10, כותב בעדותו, כי </w:t>
      </w:r>
      <w:r w:rsidRPr="00987F99">
        <w:rPr>
          <w:rFonts w:ascii="David" w:eastAsia="Calibri" w:hAnsi="David"/>
          <w:b/>
          <w:bCs/>
          <w:u w:val="single"/>
          <w:rtl/>
        </w:rPr>
        <w:t>'המוות נגרם כתוצאה מדלקת ריאות כסיבוך למצב חוסר ההכרה שנגרם על ידי המכות בראש'</w:t>
      </w:r>
      <w:r w:rsidRPr="00987F99">
        <w:rPr>
          <w:rFonts w:ascii="David" w:eastAsia="Calibri" w:hAnsi="David"/>
          <w:b/>
          <w:bCs/>
          <w:rtl/>
        </w:rPr>
        <w:t xml:space="preserve"> והרי </w:t>
      </w:r>
      <w:r w:rsidRPr="00987F99">
        <w:rPr>
          <w:rFonts w:ascii="David" w:eastAsia="Calibri" w:hAnsi="David"/>
          <w:b/>
          <w:bCs/>
          <w:rtl/>
        </w:rPr>
        <w:lastRenderedPageBreak/>
        <w:t>לפנינו השרשרת הסיבתית הקושרת את דבר המוות למכותיו של המערער. כי סעיף 219 של פקודת החוק הפלילי, 1936, מלמדנו כי "שרשרת סיבתית" יכולה להיות מורכבת מכמה וכמה חוליות</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b/>
          <w:bCs/>
          <w:u w:val="single"/>
          <w:rtl/>
        </w:rPr>
        <w:t>בעניין מייסרה</w:t>
      </w:r>
      <w:r w:rsidRPr="00987F99">
        <w:rPr>
          <w:rFonts w:ascii="David" w:eastAsia="Calibri" w:hAnsi="David"/>
          <w:rtl/>
        </w:rPr>
        <w:t xml:space="preserve">, דובר על מערער שהורשע תחילה, בדומה למקרה שבפנינו, בעבירה של ניסיון רצח.  המערער דקר את אשתו 13 דקירות סכין. בעקבות כך, אשת המערער הופנתה לבית החולים כשהיא מחוסרת הכרה. היא עברה סדרה של ניתוחים וטיפולים אך הכרתה לא שבה אליה והיא נותרה במצב של "צמח". לאחר הרשעתו של המערער וטרם גזירת עונשו, אשת המערער נפטרה. בשל כך, הוגש כתב אישום מתוקן במסגרתו הואשם בעבירה של רצח בכוונה תחילה.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בדומה למקרה שלנו, נטען להעדרו של קשר סיבתי וזאת בשים לב לכך שהמערער דקר את המנוחה בחודש יוני 2004 בעוד שמותה התרחש עשרה חודשים מאוחר יותר באפריל 2005, כתוצאה מדלקת ריאות חריפה. בית המשפט המחוזי קבע כי קיים קשר סיבתי בהסתמך על חוות הדעת של מומחה התביעה. בית המשפט העליון דחה את הערעור בציינו: "</w:t>
      </w:r>
      <w:r w:rsidRPr="00987F99">
        <w:rPr>
          <w:rFonts w:ascii="David" w:eastAsia="Calibri" w:hAnsi="David"/>
          <w:b/>
          <w:bCs/>
          <w:rtl/>
        </w:rPr>
        <w:t xml:space="preserve">במקרה זה קיים קשר סיבתי עובדתי. מסקנה זו נובעת מחוות דעתו של פרופסור היס. בעדותו הדגיש כי 'הממצא הבולט בניתוח, הייתה </w:t>
      </w:r>
      <w:r w:rsidRPr="00987F99">
        <w:rPr>
          <w:rFonts w:ascii="David" w:eastAsia="Calibri" w:hAnsi="David"/>
          <w:b/>
          <w:bCs/>
          <w:u w:val="single"/>
          <w:rtl/>
        </w:rPr>
        <w:t>דלקת ריאות מוגלתית שאינה מאפשרת נשימה ושגורמת למוות'</w:t>
      </w:r>
      <w:r w:rsidRPr="00987F99">
        <w:rPr>
          <w:rFonts w:ascii="David" w:eastAsia="Calibri" w:hAnsi="David"/>
          <w:b/>
          <w:bCs/>
          <w:rtl/>
        </w:rPr>
        <w:t xml:space="preserve">... נתון זה נבע כאמור משכיבה ממושכת ללא הכרה ומונשמת עם הופעת פצעי לחץ [...] עולה מדברי המומחה כי </w:t>
      </w:r>
      <w:r w:rsidRPr="00987F99">
        <w:rPr>
          <w:rFonts w:ascii="David" w:eastAsia="Calibri" w:hAnsi="David"/>
          <w:b/>
          <w:bCs/>
          <w:u w:val="single"/>
          <w:rtl/>
        </w:rPr>
        <w:t>שכיבתה ללא נוע של המנוחה (שהייתה כאמור במצב של "צמח") והנשמתה החלישו את גופה והגבירו סיכוייה ללקות בדלקת ריאות חריפה ובאי ספיקה נשימתית בעקבותיה, שהובילה למותה</w:t>
      </w:r>
      <w:r w:rsidRPr="00987F99">
        <w:rPr>
          <w:rFonts w:ascii="David" w:eastAsia="Calibri" w:hAnsi="David"/>
          <w:rtl/>
        </w:rPr>
        <w:t xml:space="preserve">" (פסקה 5)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באשר לקשר הסיבתי משפטי, נקבע על ידי בית המשפט כי:</w:t>
      </w:r>
      <w:r w:rsidRPr="00987F99">
        <w:rPr>
          <w:rFonts w:ascii="David" w:eastAsia="Calibri" w:hAnsi="David"/>
        </w:rPr>
        <w:t xml:space="preserve"> </w:t>
      </w:r>
      <w:r w:rsidRPr="00987F99">
        <w:rPr>
          <w:rFonts w:ascii="David" w:eastAsia="Calibri" w:hAnsi="David"/>
          <w:rtl/>
        </w:rPr>
        <w:t>"</w:t>
      </w:r>
      <w:r w:rsidRPr="00987F99">
        <w:rPr>
          <w:rFonts w:ascii="David" w:eastAsia="Calibri" w:hAnsi="David"/>
          <w:b/>
          <w:bCs/>
          <w:rtl/>
        </w:rPr>
        <w:t xml:space="preserve">המבחן הוא אובייקטיבי. השאלה היא האם נאשם שהתכוון לרצוח וגם גרם מבחינה עובדתית לתוצאה הקטלנית צריך היה לצפות גם תוצאת מוות שהתרחשה בווריאציה עובדתית שונה מזו העולה באופן ישיר ממעשיו וכוונתו [...] המערער יכול היה וצריך היה לצפות כי דקירותיו תגרמנה למותה של המנוחה גם באופן שאינו מידי, לאחר אשפוזה במצב קשה בצירוף סיבוכים הנובעים מהמצב. </w:t>
      </w:r>
      <w:r w:rsidRPr="00987F99">
        <w:rPr>
          <w:rFonts w:ascii="David" w:eastAsia="Calibri" w:hAnsi="David"/>
          <w:b/>
          <w:bCs/>
          <w:u w:val="single"/>
          <w:rtl/>
        </w:rPr>
        <w:t>הדוקר שוב ושוב את הקורבן אינו יכול לצמצם את הקשר הסיבתי המשפטי בין  מעשיו לבין התוצאה הקטלנית לכדי התרחשות עובדתית אחת – מוות מידי</w:t>
      </w:r>
      <w:r w:rsidRPr="00987F99">
        <w:rPr>
          <w:rFonts w:ascii="David" w:eastAsia="Calibri" w:hAnsi="David"/>
          <w:b/>
          <w:bCs/>
          <w:rtl/>
        </w:rPr>
        <w:t>. במובן זה, המקרה אף אינו גבולי. כפי שקבעה הפסיקה 'אין צורך לצפות את דרך ההשתלשלות לקראת התוצאה ובלבד שזו לא תהיה חריגה ביותר'</w:t>
      </w:r>
      <w:r w:rsidRPr="00987F99">
        <w:rPr>
          <w:rFonts w:ascii="David" w:eastAsia="Calibri" w:hAnsi="David"/>
          <w:rtl/>
        </w:rPr>
        <w:t xml:space="preserve">" (שם).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u w:val="single"/>
          <w:rtl/>
        </w:rPr>
        <w:t xml:space="preserve">בע"פ 7039/21 </w:t>
      </w:r>
      <w:r w:rsidRPr="00987F99">
        <w:rPr>
          <w:rFonts w:ascii="David" w:eastAsia="Calibri" w:hAnsi="David"/>
          <w:b/>
          <w:bCs/>
          <w:u w:val="single"/>
          <w:rtl/>
        </w:rPr>
        <w:t xml:space="preserve">טספה מריאם נ' מדינת ישראל </w:t>
      </w:r>
      <w:r w:rsidRPr="00987F99">
        <w:rPr>
          <w:rFonts w:ascii="David" w:eastAsia="Calibri" w:hAnsi="David"/>
          <w:u w:val="single"/>
          <w:rtl/>
        </w:rPr>
        <w:t>(פורסם בנבו, 5.7.23</w:t>
      </w:r>
      <w:r w:rsidRPr="00987F99">
        <w:rPr>
          <w:rFonts w:ascii="David" w:eastAsia="Calibri" w:hAnsi="David"/>
          <w:b/>
          <w:bCs/>
          <w:rtl/>
        </w:rPr>
        <w:t xml:space="preserve">), </w:t>
      </w:r>
      <w:r w:rsidRPr="00987F99">
        <w:rPr>
          <w:rFonts w:ascii="David" w:eastAsia="Calibri" w:hAnsi="David"/>
          <w:rtl/>
        </w:rPr>
        <w:t xml:space="preserve">נדון מקרה דומה עד מאוד למקרה שלפנינו. על פי המתואר, בחודש </w:t>
      </w:r>
      <w:r w:rsidRPr="00987F99">
        <w:rPr>
          <w:rFonts w:ascii="David" w:eastAsia="Calibri" w:hAnsi="David"/>
          <w:u w:val="single"/>
          <w:rtl/>
        </w:rPr>
        <w:t>אוקטובר 2018</w:t>
      </w:r>
      <w:r w:rsidRPr="00987F99">
        <w:rPr>
          <w:rFonts w:ascii="David" w:eastAsia="Calibri" w:hAnsi="David"/>
          <w:rtl/>
        </w:rPr>
        <w:t xml:space="preserve"> המערער חבט בעוצמה בראשה של המתלוננת מספר פעמים באמצעות לבנה. כתוצאה מכך נגרמה למתלוננת חבלת ראש קשה בכללה, דימום מוחי וחסימה של עורקי מוח. המתלוננת פונתה לבית החולים כשהיא מחוסרת הכרה. בחלוף חודש המתלוננת הועברה למרכז גריאטרי ולאחר תקופה של מספר חודשים חל שיפור מסוים במצבה והיא אף שבה להכרתה והצליחה לזהות את בני משפחה ולתקשר עמם. בחודש </w:t>
      </w:r>
      <w:r w:rsidRPr="00987F99">
        <w:rPr>
          <w:rFonts w:ascii="David" w:eastAsia="Calibri" w:hAnsi="David"/>
          <w:u w:val="single"/>
          <w:rtl/>
        </w:rPr>
        <w:t>ינואר 2020</w:t>
      </w:r>
      <w:r w:rsidRPr="00987F99">
        <w:rPr>
          <w:rFonts w:ascii="David" w:eastAsia="Calibri" w:hAnsi="David"/>
          <w:rtl/>
        </w:rPr>
        <w:t xml:space="preserve">, המתלוננת עברה למרכז סיעודי אחר וכן אושפזה מספר פעמים בבית החולים לניאדו. בחודש </w:t>
      </w:r>
      <w:r w:rsidRPr="00987F99">
        <w:rPr>
          <w:rFonts w:ascii="David" w:eastAsia="Calibri" w:hAnsi="David"/>
          <w:u w:val="single"/>
          <w:rtl/>
        </w:rPr>
        <w:t>יוני 2020</w:t>
      </w:r>
      <w:r w:rsidRPr="00987F99">
        <w:rPr>
          <w:rFonts w:ascii="David" w:eastAsia="Calibri" w:hAnsi="David"/>
          <w:rtl/>
        </w:rPr>
        <w:t xml:space="preserve">, המתלוננת לקתה בדום לב שבסופו אובחנה במצב הכרתי של "צמח". בשל כך, המערער הועמד לדין והורשע </w:t>
      </w:r>
      <w:r w:rsidRPr="00987F99">
        <w:rPr>
          <w:rFonts w:ascii="David" w:eastAsia="Calibri" w:hAnsi="David"/>
          <w:rtl/>
        </w:rPr>
        <w:lastRenderedPageBreak/>
        <w:t xml:space="preserve">בעבירה של ניסיון רצח. ביום 21.9.20 נשמעו הטיעונים לעונש. במסגרת הטיעונים לעונש, נטען על ידי ההגנה להעדרו של קשר סיבתי בין פציעת המתלוננת לבין הפיכתה ל-"צמח". לצורך הוכחת הקשר הסיבתי התביעה הגישה חוות דעת מאת ד"ר חן קוגל ובה פירט על "רצף של תהליכים" שתחילתם באירוע תקיפה וסופם בהגעתה של הנפגעת למצב רפואי וגטטיבי תוך שתואר כיצד כל אירוע הוביל למשנהו. באופן ספציפי, פורט כיצד הפציעה שגרם המערער הובילה להתדרדרות במצבה הנוירולוגי של המתלוננת אשר למרות שחל בו שיפור הדרגתי בחלוף הזמן, הוביל להיותה חולה סיעודית. מצב נוירולוגי ירוד זה, גרם לירידה ברפלקסים חיוניים כגון רפלקס הבליעה ובכך הגדיל את הסיכון לאספירציה. עוד פורט כי אצל הנפגעת התרחשו מספר אירועי אספירציה כאשר אחד מאירועים אלה שהיה אירוע מסיבי, גרם להפרעה נשימתית ולדום לב. אף שפעולת הלב של הנפגעת חודשה לאחר ההחייאה, נגרם לה נזק מוחי שהוביל למצבה הגטטיבי. לא הוגשה חוות דעת נגדית מטעם ההגנה. </w:t>
      </w:r>
    </w:p>
    <w:p w:rsidR="00987F99" w:rsidRPr="00987F99" w:rsidRDefault="00987F99" w:rsidP="00987F99">
      <w:pPr>
        <w:spacing w:before="120" w:after="120" w:line="360" w:lineRule="auto"/>
        <w:jc w:val="both"/>
        <w:rPr>
          <w:rFonts w:ascii="David" w:eastAsia="Calibri" w:hAnsi="David"/>
          <w:b/>
          <w:bCs/>
          <w:rtl/>
        </w:rPr>
      </w:pPr>
      <w:r w:rsidRPr="00987F99">
        <w:rPr>
          <w:rFonts w:ascii="David" w:eastAsia="Calibri" w:hAnsi="David"/>
          <w:rtl/>
        </w:rPr>
        <w:t>בית המשפט המחוזי אימץ את מסקנותיו של ד"ר קוגל, קבע קיומו של קשר סיבתי בציינו, בין היתר, כי: "</w:t>
      </w:r>
      <w:r w:rsidRPr="00987F99">
        <w:rPr>
          <w:rFonts w:ascii="David" w:eastAsia="Calibri" w:hAnsi="David"/>
          <w:b/>
          <w:bCs/>
          <w:u w:val="single"/>
          <w:rtl/>
        </w:rPr>
        <w:t>פרק הזמן שחלף בין האירועים אכן ממושך, אלא שלאורך כל התקופה סבלה הנפגעת מנזקים שנבעו באופן ברור מפגיעת הראש הקשה שגרם לה הנאשם במעשיו האכזריים</w:t>
      </w:r>
      <w:r w:rsidRPr="00987F99">
        <w:rPr>
          <w:rFonts w:ascii="David" w:eastAsia="Calibri" w:hAnsi="David"/>
          <w:b/>
          <w:bCs/>
          <w:rtl/>
        </w:rPr>
        <w:t xml:space="preserve"> [...] </w:t>
      </w:r>
      <w:r w:rsidRPr="00987F99">
        <w:rPr>
          <w:rFonts w:ascii="David" w:eastAsia="Calibri" w:hAnsi="David"/>
          <w:b/>
          <w:bCs/>
          <w:u w:val="single"/>
          <w:rtl/>
        </w:rPr>
        <w:t>הנפגעת היא אישה צעירה יחסית אשר עד לאירוע תפקדה כרגיל ולא היו ידועות בעיות בריאותיות קודמות אצלה</w:t>
      </w:r>
      <w:r w:rsidRPr="00987F99">
        <w:rPr>
          <w:rFonts w:ascii="David" w:eastAsia="Calibri" w:hAnsi="David"/>
          <w:b/>
          <w:bCs/>
          <w:rtl/>
        </w:rPr>
        <w:t xml:space="preserve">. </w:t>
      </w:r>
      <w:r w:rsidRPr="00987F99">
        <w:rPr>
          <w:rFonts w:ascii="David" w:eastAsia="Calibri" w:hAnsi="David"/>
          <w:b/>
          <w:bCs/>
          <w:u w:val="single"/>
          <w:rtl/>
        </w:rPr>
        <w:t>מאז האירוע ועד היום היא נמצאת במצב סיעודי לחלוטין ומאושפזת ברצף בבתי חולים ובמוסדות גריאטריים סיעודיים.</w:t>
      </w:r>
      <w:r w:rsidRPr="00987F99">
        <w:rPr>
          <w:rFonts w:ascii="David" w:eastAsia="Calibri" w:hAnsi="David"/>
          <w:b/>
          <w:bCs/>
          <w:rtl/>
        </w:rPr>
        <w:t xml:space="preserve">.. </w:t>
      </w:r>
      <w:r w:rsidRPr="00987F99">
        <w:rPr>
          <w:rFonts w:ascii="David" w:eastAsia="Calibri" w:hAnsi="David"/>
          <w:b/>
          <w:bCs/>
          <w:u w:val="single"/>
          <w:rtl/>
        </w:rPr>
        <w:t>גם בתקופת ההטבה לה טוענת ההגנה, אין המדובר במי שהייתה מצויה במצב בריאותי מניח את הדעת אלא רחוק מכך</w:t>
      </w:r>
      <w:r w:rsidRPr="00987F99">
        <w:rPr>
          <w:rFonts w:ascii="David" w:eastAsia="Calibri" w:hAnsi="David"/>
          <w:rtl/>
        </w:rPr>
        <w:t xml:space="preserve">" (ר' פס' 56-55 לגזר הדין, </w:t>
      </w:r>
      <w:hyperlink r:id="rId9" w:history="1">
        <w:r w:rsidRPr="00987F99">
          <w:rPr>
            <w:rFonts w:ascii="David" w:eastAsia="Calibri" w:hAnsi="David"/>
            <w:rtl/>
          </w:rPr>
          <w:t>תפ"ח 4710-11-18</w:t>
        </w:r>
      </w:hyperlink>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אחר דברים אלו גזר בית המשפט המחוזי על הנאשם מאסר בפועל לתקופה של 18 שנים לצד ענישה נלווית. המערער הגיש ערעור על חומרת העונש לבית המשפט העליון. בתוך כך, עוד טרם נשמע הערעור, המאשימה הודיעה ביום 30.11.22 כי הקורבן הלכה לעולמה ולאחר בחינת הדברים, הוחלט שלא להגיש כתב אישום באשמת רצח. במסגרת הערעור, שבה ההגנה וטענה להעדרו של קשר סיבתי. בית המשפט העליון דחה את הערעור בציינו כי הקשר הסיבתי העובדתי נסמך על חוות הדעת של מומחה התביעה, כאשר מנגד ההגנה לא תמכה טענותיה בחוות דעת רפואית מטעמה: "</w:t>
      </w:r>
      <w:r w:rsidRPr="00987F99">
        <w:rPr>
          <w:rFonts w:ascii="David" w:eastAsia="Calibri" w:hAnsi="David"/>
          <w:b/>
          <w:bCs/>
          <w:u w:val="single"/>
          <w:rtl/>
        </w:rPr>
        <w:t>השרשרת הסיבתית שנמצא שהובילה למצבה הרפואי של הנפגעת, אינה חריגה כלל ועיקר. נסיון החיים מלמד כי פעמים רבות אנשים שמתאשפזים למשך תקופה ארוכה בשל פגיעה מסוימת, לא כל שכן פגיעת ראש חמורה כבענייננו, חווים הידרדרות במצבם שאינה נובעת ישירות מן הפגיעה הראשונית, אלא מסיבוכים רפואיים הנובעים מאותה פגיעה</w:t>
      </w:r>
      <w:r w:rsidRPr="00987F99">
        <w:rPr>
          <w:rFonts w:ascii="David" w:eastAsia="Calibri" w:hAnsi="David"/>
          <w:b/>
          <w:bCs/>
          <w:rtl/>
        </w:rPr>
        <w:t xml:space="preserve">. בענייננו, </w:t>
      </w:r>
      <w:r w:rsidRPr="00987F99">
        <w:rPr>
          <w:rFonts w:ascii="David" w:eastAsia="Calibri" w:hAnsi="David"/>
          <w:b/>
          <w:bCs/>
          <w:u w:val="single"/>
          <w:rtl/>
        </w:rPr>
        <w:t>אף אין מדובר במי שנפגעה באופן קל מעבירה ומצבה הרפואי הלך והחמיר, אלא במי שהייתה במצב רפואי קשה בסמוך לאחר התקיפה, וגם לאחר אירוע דום הלב</w:t>
      </w:r>
      <w:r w:rsidRPr="00987F99">
        <w:rPr>
          <w:rFonts w:ascii="David" w:eastAsia="Calibri" w:hAnsi="David"/>
          <w:b/>
          <w:bCs/>
          <w:rtl/>
        </w:rPr>
        <w:t xml:space="preserve">. העובדה שבין שתי נקודות זמן אלה חל שיפור מועט במצבה, אין בה כדי לשנות לעניין הצפיות הסבירה. </w:t>
      </w:r>
      <w:r w:rsidRPr="00987F99">
        <w:rPr>
          <w:rFonts w:ascii="David" w:eastAsia="Calibri" w:hAnsi="David"/>
          <w:b/>
          <w:bCs/>
          <w:u w:val="single"/>
          <w:rtl/>
        </w:rPr>
        <w:t>ויודגש, כי גם בתקופת 'הטבה' זו מצבה של הנפגעת היה כה חמור עד כי לא היה ביכולתה לתקשר עם סביבתה והיא נדרשה להנשמה, להזנה ולפינוי צרכיה באמצעים מלאכותיים</w:t>
      </w:r>
      <w:r w:rsidRPr="00987F99">
        <w:rPr>
          <w:rFonts w:ascii="David" w:eastAsia="Calibri" w:hAnsi="David"/>
          <w:u w:val="single"/>
          <w:rtl/>
        </w:rPr>
        <w:t>"</w:t>
      </w:r>
      <w:r w:rsidRPr="00987F99">
        <w:rPr>
          <w:rFonts w:ascii="David" w:eastAsia="Calibri" w:hAnsi="David"/>
          <w:rtl/>
        </w:rPr>
        <w:t xml:space="preserve"> (פס' 23 לפסק דינה של כב' הש' כנפי-שטייניץ).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lastRenderedPageBreak/>
        <w:t xml:space="preserve">אמירות אלו של בית המשפט העליון בנוגע לסיבוכים צפויים כתוצאה מחבלת ראש קשה יפים באותה המידה ובהתאמות המתבקשות גם לענייננו. לסיכום, הוכח בפנינו קשר סיבתי עובדתי ומשפטי בין מעשיו של הנאשם לבין מותו של </w:t>
      </w:r>
      <w:r w:rsidR="00CC6733">
        <w:rPr>
          <w:rFonts w:ascii="David" w:eastAsia="Calibri" w:hAnsi="David"/>
          <w:rtl/>
        </w:rPr>
        <w:t>ת.מ</w:t>
      </w:r>
      <w:r w:rsidRPr="00987F99">
        <w:rPr>
          <w:rFonts w:ascii="David" w:eastAsia="Calibri" w:hAnsi="David"/>
          <w:rtl/>
        </w:rPr>
        <w:t xml:space="preserve">. </w:t>
      </w:r>
    </w:p>
    <w:p w:rsidR="00987F99" w:rsidRPr="00987F99" w:rsidRDefault="00987F99" w:rsidP="00987F99">
      <w:pPr>
        <w:spacing w:after="160" w:line="256" w:lineRule="auto"/>
        <w:jc w:val="center"/>
        <w:rPr>
          <w:rFonts w:ascii="David" w:eastAsia="Calibri" w:hAnsi="David"/>
          <w:b/>
          <w:bCs/>
          <w:sz w:val="28"/>
          <w:szCs w:val="28"/>
          <w:u w:val="single"/>
          <w:rtl/>
        </w:rPr>
      </w:pPr>
    </w:p>
    <w:p w:rsidR="00987F99" w:rsidRPr="00987F99" w:rsidRDefault="00987F99" w:rsidP="00987F99">
      <w:pPr>
        <w:spacing w:after="160" w:line="256" w:lineRule="auto"/>
        <w:jc w:val="center"/>
        <w:rPr>
          <w:rFonts w:ascii="David" w:eastAsia="Calibri" w:hAnsi="David"/>
          <w:b/>
          <w:bCs/>
          <w:sz w:val="28"/>
          <w:szCs w:val="28"/>
          <w:u w:val="single"/>
          <w:rtl/>
        </w:rPr>
      </w:pPr>
      <w:r w:rsidRPr="00987F99">
        <w:rPr>
          <w:rFonts w:ascii="David" w:eastAsia="Calibri" w:hAnsi="David"/>
          <w:b/>
          <w:bCs/>
          <w:sz w:val="28"/>
          <w:szCs w:val="28"/>
          <w:u w:val="single"/>
          <w:rtl/>
        </w:rPr>
        <w:t>טענת הקנטור:</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טענת הגנה חלופית שהעלתה ב"כ הנאשם היא מכוחו של </w:t>
      </w:r>
      <w:r w:rsidRPr="00987F99">
        <w:rPr>
          <w:rFonts w:ascii="David" w:eastAsia="Calibri" w:hAnsi="David"/>
          <w:b/>
          <w:bCs/>
          <w:rtl/>
        </w:rPr>
        <w:t>סעיף 301(ב)(ב1) לחוק העונשין</w:t>
      </w:r>
      <w:r w:rsidRPr="00987F99">
        <w:rPr>
          <w:rFonts w:ascii="David" w:eastAsia="Calibri" w:hAnsi="David"/>
          <w:rtl/>
        </w:rPr>
        <w:t xml:space="preserve"> כפי נוסחו לאחר תיקון 137 שזוהי לשונו: </w:t>
      </w:r>
    </w:p>
    <w:p w:rsidR="00987F99" w:rsidRPr="00987F99" w:rsidRDefault="00987F99" w:rsidP="00987F99">
      <w:pPr>
        <w:spacing w:before="120" w:after="120"/>
        <w:jc w:val="both"/>
        <w:rPr>
          <w:rFonts w:ascii="David" w:eastAsia="Calibri" w:hAnsi="David"/>
          <w:b/>
          <w:bCs/>
          <w:rtl/>
        </w:rPr>
      </w:pPr>
      <w:r w:rsidRPr="00987F99">
        <w:rPr>
          <w:rFonts w:ascii="David" w:eastAsia="Calibri" w:hAnsi="David"/>
          <w:rtl/>
        </w:rPr>
        <w:t>"</w:t>
      </w:r>
      <w:r w:rsidRPr="00987F99">
        <w:rPr>
          <w:rFonts w:ascii="David" w:eastAsia="Calibri" w:hAnsi="David"/>
          <w:b/>
          <w:bCs/>
          <w:rtl/>
        </w:rPr>
        <w:t>המתה בנסיבות של אחריות מופחתת (תיקון מס' 137) תשע"ט-2019</w:t>
      </w:r>
    </w:p>
    <w:p w:rsidR="00987F99" w:rsidRPr="00987F99" w:rsidRDefault="00987F99" w:rsidP="00987F99">
      <w:pPr>
        <w:spacing w:before="120" w:after="120"/>
        <w:jc w:val="both"/>
        <w:rPr>
          <w:rFonts w:ascii="David" w:eastAsia="Calibri" w:hAnsi="David"/>
          <w:b/>
          <w:bCs/>
          <w:rtl/>
        </w:rPr>
      </w:pPr>
      <w:r w:rsidRPr="00987F99">
        <w:rPr>
          <w:rFonts w:ascii="David" w:eastAsia="Calibri" w:hAnsi="David"/>
          <w:b/>
          <w:bCs/>
          <w:rtl/>
        </w:rPr>
        <w:tab/>
        <w:t>...</w:t>
      </w:r>
    </w:p>
    <w:p w:rsidR="00987F99" w:rsidRPr="00987F99" w:rsidRDefault="00987F99" w:rsidP="00987F99">
      <w:pPr>
        <w:numPr>
          <w:ilvl w:val="0"/>
          <w:numId w:val="11"/>
        </w:numPr>
        <w:spacing w:before="120" w:after="120" w:line="256" w:lineRule="auto"/>
        <w:contextualSpacing/>
        <w:jc w:val="both"/>
        <w:rPr>
          <w:rFonts w:ascii="David" w:eastAsia="Calibri" w:hAnsi="David"/>
          <w:b/>
          <w:bCs/>
        </w:rPr>
      </w:pPr>
      <w:r w:rsidRPr="00987F99">
        <w:rPr>
          <w:rFonts w:ascii="David" w:eastAsia="Calibri" w:hAnsi="David"/>
          <w:b/>
          <w:bCs/>
          <w:rtl/>
        </w:rPr>
        <w:t xml:space="preserve">על אף האמור בסעיפים 300 ו-301א, הגורם בכוונה או באדישות למותו של אדם באחת מהנסיבות המפורטות להלן, דינו </w:t>
      </w:r>
      <w:r w:rsidRPr="00987F99">
        <w:rPr>
          <w:rFonts w:ascii="David" w:eastAsia="Calibri" w:hAnsi="David"/>
          <w:b/>
          <w:bCs/>
          <w:u w:val="single"/>
          <w:rtl/>
        </w:rPr>
        <w:t>– מאסר עשרים שנים</w:t>
      </w:r>
      <w:r w:rsidRPr="00987F99">
        <w:rPr>
          <w:rFonts w:ascii="David" w:eastAsia="Calibri" w:hAnsi="David"/>
          <w:b/>
          <w:bCs/>
          <w:rtl/>
        </w:rPr>
        <w:t>:</w:t>
      </w:r>
    </w:p>
    <w:p w:rsidR="00987F99" w:rsidRPr="00987F99" w:rsidRDefault="00987F99" w:rsidP="00987F99">
      <w:pPr>
        <w:spacing w:before="120" w:after="120"/>
        <w:ind w:left="1218" w:hanging="425"/>
        <w:jc w:val="both"/>
        <w:rPr>
          <w:rFonts w:ascii="David" w:eastAsia="Calibri" w:hAnsi="David"/>
          <w:b/>
          <w:bCs/>
          <w:rtl/>
        </w:rPr>
      </w:pPr>
      <w:r w:rsidRPr="00987F99">
        <w:rPr>
          <w:rFonts w:ascii="David" w:eastAsia="Calibri" w:hAnsi="David"/>
          <w:b/>
          <w:bCs/>
          <w:rtl/>
        </w:rPr>
        <w:t xml:space="preserve">(1)   </w:t>
      </w:r>
      <w:r w:rsidRPr="00987F99">
        <w:rPr>
          <w:rFonts w:ascii="David" w:eastAsia="Calibri" w:hAnsi="David"/>
          <w:b/>
          <w:bCs/>
          <w:u w:val="single"/>
          <w:rtl/>
        </w:rPr>
        <w:t>המעשה בוצע בתכוף לאחר התגרות כלפי הנאשם ובתגובה לאותה התגרות, ובלבד שמתקיימים שניים אלה</w:t>
      </w:r>
      <w:r w:rsidRPr="00987F99">
        <w:rPr>
          <w:rFonts w:ascii="David" w:eastAsia="Calibri" w:hAnsi="David"/>
          <w:b/>
          <w:bCs/>
          <w:rtl/>
        </w:rPr>
        <w:t>:</w:t>
      </w:r>
    </w:p>
    <w:p w:rsidR="00987F99" w:rsidRPr="00987F99" w:rsidRDefault="00987F99" w:rsidP="00987F99">
      <w:pPr>
        <w:spacing w:before="120" w:after="120"/>
        <w:ind w:left="935"/>
        <w:jc w:val="both"/>
        <w:rPr>
          <w:rFonts w:ascii="David" w:eastAsia="Calibri" w:hAnsi="David"/>
          <w:b/>
          <w:bCs/>
          <w:rtl/>
        </w:rPr>
      </w:pPr>
      <w:r w:rsidRPr="00987F99">
        <w:rPr>
          <w:rFonts w:ascii="David" w:eastAsia="Calibri" w:hAnsi="David"/>
          <w:b/>
          <w:bCs/>
          <w:rtl/>
        </w:rPr>
        <w:t xml:space="preserve">(א)   </w:t>
      </w:r>
      <w:r w:rsidRPr="00987F99">
        <w:rPr>
          <w:rFonts w:ascii="David" w:eastAsia="Calibri" w:hAnsi="David"/>
          <w:b/>
          <w:bCs/>
          <w:u w:val="single"/>
          <w:rtl/>
        </w:rPr>
        <w:t>בעקבות ההתגרות הנאשם התקשה במידה ניכרת לשלוט בעצמו</w:t>
      </w:r>
      <w:r w:rsidRPr="00987F99">
        <w:rPr>
          <w:rFonts w:ascii="David" w:eastAsia="Calibri" w:hAnsi="David"/>
          <w:b/>
          <w:bCs/>
          <w:rtl/>
        </w:rPr>
        <w:t>;</w:t>
      </w:r>
    </w:p>
    <w:p w:rsidR="00987F99" w:rsidRPr="00987F99" w:rsidRDefault="00987F99" w:rsidP="00987F99">
      <w:pPr>
        <w:spacing w:before="120" w:after="120"/>
        <w:ind w:left="1360" w:hanging="425"/>
        <w:jc w:val="both"/>
        <w:rPr>
          <w:rFonts w:ascii="David" w:eastAsia="Calibri" w:hAnsi="David"/>
          <w:b/>
          <w:bCs/>
          <w:rtl/>
        </w:rPr>
      </w:pPr>
      <w:r w:rsidRPr="00987F99">
        <w:rPr>
          <w:rFonts w:ascii="David" w:eastAsia="Calibri" w:hAnsi="David"/>
          <w:b/>
          <w:bCs/>
          <w:rtl/>
        </w:rPr>
        <w:t xml:space="preserve">(ב)   </w:t>
      </w:r>
      <w:r w:rsidRPr="00987F99">
        <w:rPr>
          <w:rFonts w:ascii="David" w:eastAsia="Calibri" w:hAnsi="David"/>
          <w:b/>
          <w:bCs/>
          <w:u w:val="single"/>
          <w:rtl/>
        </w:rPr>
        <w:t>יש בקושי האמור בפסקת משנה (א) כדי למתן את אשמתו של הנאשם, בשים לב למכלול נסיבות העניין</w:t>
      </w:r>
      <w:r w:rsidRPr="00987F99">
        <w:rPr>
          <w:rFonts w:ascii="David" w:eastAsia="Calibri" w:hAnsi="David"/>
          <w:b/>
          <w:bCs/>
          <w:rtl/>
        </w:rPr>
        <w:t>;</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אליבא ההגנה, ובתמצית, מספר נימוקים צריכים להוביל לקביעה לפיה הנאשם קונטר עובר לכך שירה במנוח ומשכך, עניינו חוסה תחת הסעיף של "המתה בנסיבות של אחריות מופחתת".</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נטען כי הגם שהנאשם לא העלה מיוזמתו במסגרת תיק ניסיון הרצח את טענת הקנטור באופן מפורש, הדבר נלמד מתוך הראיות, ולראיה, לא בכדי בית המשפט נדרש לדבר מיוזמתו. כשם שהדבר נעשה בעבר, חובתו של בית המשפט לעשות כן כעת.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כנדבך שני, נטען כי אמנם בית המשפט המחוזי לא מצא כי הנאשם קונטר אולם זאת עשה בהסתמך על הדין הישן שבו הושם הדגש על מבחן האובייקטיבי בדמותו של "האדם הסביר". היות והדין החדש הוא בבחינת "דין מקל" הרי שבהתאם להוראות המעבר לתיקון 137, שומה על בית המשפט לבחון בשנית קיומו של רכיב הקנטור או העדרו. </w:t>
      </w:r>
    </w:p>
    <w:p w:rsidR="00987F99" w:rsidRPr="00987F99" w:rsidRDefault="00987F99" w:rsidP="00A41D2A">
      <w:pPr>
        <w:spacing w:before="120" w:after="120" w:line="360" w:lineRule="auto"/>
        <w:jc w:val="both"/>
        <w:rPr>
          <w:rFonts w:ascii="David" w:eastAsia="Calibri" w:hAnsi="David"/>
          <w:rtl/>
        </w:rPr>
      </w:pPr>
      <w:r w:rsidRPr="00987F99">
        <w:rPr>
          <w:rFonts w:ascii="David" w:eastAsia="Calibri" w:hAnsi="David"/>
          <w:rtl/>
        </w:rPr>
        <w:t xml:space="preserve">לעצם הקינטור, נטען כי בית המשפט במסגרת תיק הרצח קיבל את הטענה לפיה הנאשם, מבחינה סובייקטיבית, "איבד את עשתונות" נוכח הליכי העיקול הלא מוצדקים שננקטו נגדו והיחס המזלזל לו זכה לטענתו מצד המנוח ואחרים. קביעה זו לצד העובדה כי עד לאותה נקודה הנאשם היה אדם שניהל אורח חיים נורמטיבי ואף החזיק את האקדח שהיה ברשותו ברישיון, אמורים למתן את אשמתו ולקבוע כי מעשיו נעשו בנסיבות של אחריות מופחתת. </w:t>
      </w:r>
    </w:p>
    <w:p w:rsidR="00CC6733" w:rsidRDefault="00CC6733" w:rsidP="00987F99">
      <w:pPr>
        <w:spacing w:before="120" w:after="120" w:line="360" w:lineRule="auto"/>
        <w:jc w:val="center"/>
        <w:rPr>
          <w:rFonts w:ascii="David" w:eastAsia="Calibri" w:hAnsi="David"/>
          <w:b/>
          <w:bCs/>
          <w:sz w:val="28"/>
          <w:szCs w:val="28"/>
          <w:u w:val="single"/>
          <w:rtl/>
        </w:rPr>
      </w:pPr>
    </w:p>
    <w:p w:rsidR="00987F99" w:rsidRPr="00987F99" w:rsidRDefault="00987F99" w:rsidP="00987F99">
      <w:pPr>
        <w:spacing w:before="120" w:after="120" w:line="360" w:lineRule="auto"/>
        <w:jc w:val="center"/>
        <w:rPr>
          <w:rFonts w:ascii="David" w:eastAsia="Calibri" w:hAnsi="David"/>
          <w:sz w:val="28"/>
          <w:szCs w:val="28"/>
          <w:rtl/>
        </w:rPr>
      </w:pPr>
      <w:r w:rsidRPr="00987F99">
        <w:rPr>
          <w:rFonts w:ascii="David" w:eastAsia="Calibri" w:hAnsi="David"/>
          <w:b/>
          <w:bCs/>
          <w:sz w:val="28"/>
          <w:szCs w:val="28"/>
          <w:u w:val="single"/>
          <w:rtl/>
        </w:rPr>
        <w:lastRenderedPageBreak/>
        <w:t>דיון והכרעה</w:t>
      </w:r>
      <w:r w:rsidRPr="00987F99">
        <w:rPr>
          <w:rFonts w:ascii="David" w:eastAsia="Calibri" w:hAnsi="David"/>
          <w:sz w:val="28"/>
          <w:szCs w:val="28"/>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לא מצאנו ממש בטענת הקנטור משורה של טעמים אשר די בכל אחד מהם בנפרד לדחותה, לא כל שכן בהצטברותם יחדיו.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בפתח הדברים יש לעמוד על כך שבמהלך ניהול ההוכחות במסגרת תיק ניסיון הרצח הנאשם כלל לא העלה טענת קנטור או ניהל קו הגנה שיכול ללמד במשתמע על קיומו של קנטור. אדרבא, טענתו של הנאשם הייתה כי כלל לא התכוון לירות לעבר המנוח וכל שעשה הוא לירות ירייה אחת לצורך הרתעה בלבד.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גם במהלך ניהול התיק שלפנינו הנאשם לא ביקש לשנות מן המענה, לא העלה טיעון עובדתי חדש וכך גם לא עלה להעיד במהלך פרשת ההגנה. יוצא אפוא כי כאשר גרסתו העובדתית של הנאשם, גם כיום, היא כי לא כיוון ולא ביקש לפגוע ב</w:t>
      </w:r>
      <w:r w:rsidR="008E5FF0">
        <w:rPr>
          <w:rFonts w:ascii="David" w:eastAsia="Calibri" w:hAnsi="David"/>
          <w:rtl/>
        </w:rPr>
        <w:t>מנוח</w:t>
      </w:r>
      <w:r w:rsidRPr="00987F99">
        <w:rPr>
          <w:rFonts w:ascii="David" w:eastAsia="Calibri" w:hAnsi="David"/>
          <w:rtl/>
        </w:rPr>
        <w:t xml:space="preserve">, על פניו ישנו קושי של ממש לבחון טענה מעין זו גם במשפטנו.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לא נעלמה מענינו העובדה כי בית המשפט המחוזי בהליך הקודם היה מודע לבעייתיות זאת וחרף כך בחן את שאלת הקנטור בציינו: "</w:t>
      </w:r>
      <w:r w:rsidRPr="00987F99">
        <w:rPr>
          <w:rFonts w:ascii="David" w:eastAsia="Calibri" w:hAnsi="David"/>
          <w:b/>
          <w:bCs/>
          <w:rtl/>
        </w:rPr>
        <w:t xml:space="preserve">נוכח הכחשתו של הנאשם כי ירה לעבר </w:t>
      </w:r>
      <w:r w:rsidR="00CC6733" w:rsidRPr="008E5FF0">
        <w:rPr>
          <w:rFonts w:ascii="David" w:eastAsia="Calibri" w:hAnsi="David"/>
          <w:rtl/>
        </w:rPr>
        <w:t>[ת.מ]</w:t>
      </w:r>
      <w:r w:rsidRPr="00987F99">
        <w:rPr>
          <w:rFonts w:ascii="David" w:eastAsia="Calibri" w:hAnsi="David"/>
          <w:b/>
          <w:bCs/>
          <w:rtl/>
        </w:rPr>
        <w:t xml:space="preserve">, לא העלה הנאשם ממילא, טענת קנטור, הקשורה בפעולות הגבייה והתנהלותו הנטענת של </w:t>
      </w:r>
      <w:r w:rsidR="00CC6733" w:rsidRPr="008E5FF0">
        <w:rPr>
          <w:rFonts w:ascii="David" w:eastAsia="Calibri" w:hAnsi="David"/>
          <w:rtl/>
        </w:rPr>
        <w:t>[ת.מ]</w:t>
      </w:r>
      <w:r w:rsidRPr="00987F99">
        <w:rPr>
          <w:rFonts w:ascii="David" w:eastAsia="Calibri" w:hAnsi="David"/>
          <w:b/>
          <w:bCs/>
          <w:rtl/>
        </w:rPr>
        <w:t xml:space="preserve"> כלפיו. עם זאת, אין פטורים אנו מלדון בשאלת הקנטור, אם עולה במשתמע, טענת קנטור.</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ודוק, בחינת בית המשפט המחוזי בהליך הקודם הייתה במובנים רבים בבחינת למעלה מן הצורך, לפנים משורת הדין, תוך הנחת הנחות לצורך הדיון בלבד לטובת הנאשם. בסופם של דברים, בית המשפט קבע כי אפילו נניח שהנאשם הושפע סובייקטיבית (ואין קביעה שכזו) ברי כי לא ניתן מהבחינה האובייקטיבית לקבוע כי אדם סביר היה מנסה לרצוח פקיד אך בשל כך שלטענתו ננקטו נגדו הליכי הוצל"פ לא מוצדקים.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בפועל כל התייחסותו של בית המשפט לשאלת הקנטור מצאה ביטוי בפסקה אחת מתוך הכרעת דין האוחזת 84 עמודים: </w:t>
      </w:r>
    </w:p>
    <w:p w:rsidR="00987F99" w:rsidRPr="00987F99" w:rsidRDefault="00987F99" w:rsidP="00A41D2A">
      <w:pPr>
        <w:tabs>
          <w:tab w:val="left" w:pos="8079"/>
        </w:tabs>
        <w:spacing w:before="120" w:after="120"/>
        <w:ind w:left="509" w:right="426"/>
        <w:jc w:val="both"/>
        <w:rPr>
          <w:rFonts w:ascii="David" w:eastAsia="Calibri" w:hAnsi="David"/>
          <w:rtl/>
        </w:rPr>
      </w:pPr>
      <w:r w:rsidRPr="00987F99">
        <w:rPr>
          <w:rFonts w:ascii="David" w:eastAsia="Calibri" w:hAnsi="David"/>
          <w:rtl/>
        </w:rPr>
        <w:t>"</w:t>
      </w:r>
      <w:r w:rsidRPr="00987F99">
        <w:rPr>
          <w:rFonts w:ascii="David" w:eastAsia="Calibri" w:hAnsi="David"/>
          <w:b/>
          <w:bCs/>
          <w:rtl/>
        </w:rPr>
        <w:t>את טענת הנאשם בדבר אובדן העשתונות, יש "למקם" אפוא, כטענה אפשרית של ביצוע הירי על רקע קנטור, נוכח הליכי העיקול שבוצעו, ובשל כך שראה ב</w:t>
      </w:r>
      <w:r w:rsidR="00CC6733" w:rsidRPr="008E5FF0">
        <w:rPr>
          <w:rFonts w:ascii="David" w:eastAsia="Calibri" w:hAnsi="David"/>
          <w:rtl/>
        </w:rPr>
        <w:t>[ת.מ]</w:t>
      </w:r>
      <w:r w:rsidRPr="00987F99">
        <w:rPr>
          <w:rFonts w:ascii="David" w:eastAsia="Calibri" w:hAnsi="David"/>
          <w:b/>
          <w:bCs/>
          <w:rtl/>
        </w:rPr>
        <w:t xml:space="preserve"> אחראי עיקרי לעוול שנגרם לו, על פי הבנתו. הנאשם נמנע אמנם מלטעון בעדותו, כי ביצע ירי על רקע מעשה קנטור, נוכח קו ההגנה שנקט, ואולם בתחילת חקירתו הודה כי ירה לעבר </w:t>
      </w:r>
      <w:r w:rsidR="00CC6733" w:rsidRPr="008E5FF0">
        <w:rPr>
          <w:rFonts w:ascii="David" w:eastAsia="Calibri" w:hAnsi="David"/>
          <w:rtl/>
        </w:rPr>
        <w:t>[ת.מ]</w:t>
      </w:r>
      <w:r w:rsidRPr="00987F99">
        <w:rPr>
          <w:rFonts w:ascii="David" w:eastAsia="Calibri" w:hAnsi="David"/>
          <w:b/>
          <w:bCs/>
          <w:rtl/>
        </w:rPr>
        <w:t xml:space="preserve">. </w:t>
      </w:r>
      <w:r w:rsidRPr="00987F99">
        <w:rPr>
          <w:rFonts w:ascii="David" w:eastAsia="Calibri" w:hAnsi="David"/>
          <w:b/>
          <w:bCs/>
          <w:u w:val="single"/>
          <w:rtl/>
        </w:rPr>
        <w:t>גם אם נניח לצורך הדיון</w:t>
      </w:r>
      <w:r w:rsidRPr="00987F99">
        <w:rPr>
          <w:rFonts w:ascii="David" w:eastAsia="Calibri" w:hAnsi="David"/>
          <w:b/>
          <w:bCs/>
          <w:rtl/>
        </w:rPr>
        <w:t xml:space="preserve"> </w:t>
      </w:r>
      <w:r w:rsidRPr="00987F99">
        <w:rPr>
          <w:rFonts w:ascii="David" w:eastAsia="Calibri" w:hAnsi="David"/>
          <w:b/>
          <w:bCs/>
          <w:u w:val="single"/>
          <w:rtl/>
        </w:rPr>
        <w:t>הנחה שקשה לבוחנה נוכח הכחשת הנאשם כי ביצע ירי מכוון</w:t>
      </w:r>
      <w:r w:rsidRPr="00987F99">
        <w:rPr>
          <w:rFonts w:ascii="David" w:eastAsia="Calibri" w:hAnsi="David"/>
          <w:b/>
          <w:bCs/>
          <w:rtl/>
        </w:rPr>
        <w:t xml:space="preserve"> – </w:t>
      </w:r>
      <w:r w:rsidRPr="00987F99">
        <w:rPr>
          <w:rFonts w:ascii="David" w:eastAsia="Calibri" w:hAnsi="David"/>
          <w:b/>
          <w:bCs/>
          <w:u w:val="single"/>
          <w:rtl/>
        </w:rPr>
        <w:t>כי הנאשם הושפע סובייקטיבית</w:t>
      </w:r>
      <w:r w:rsidRPr="00987F99">
        <w:rPr>
          <w:rFonts w:ascii="David" w:eastAsia="Calibri" w:hAnsi="David"/>
          <w:b/>
          <w:bCs/>
          <w:rtl/>
        </w:rPr>
        <w:t xml:space="preserve"> מאירוע אותו יום עד כדי אובדן שליטה עצמית וביצוע ירי לעברו של </w:t>
      </w:r>
      <w:r w:rsidR="00CC6733" w:rsidRPr="008E5FF0">
        <w:rPr>
          <w:rFonts w:ascii="David" w:eastAsia="Calibri" w:hAnsi="David"/>
          <w:rtl/>
        </w:rPr>
        <w:t>[ת.מ]</w:t>
      </w:r>
      <w:r w:rsidRPr="00987F99">
        <w:rPr>
          <w:rFonts w:ascii="David" w:eastAsia="Calibri" w:hAnsi="David"/>
          <w:b/>
          <w:bCs/>
          <w:rtl/>
        </w:rPr>
        <w:t>, הרי שאין כל בסיס לטענה האפשרית כי מהבחינה האובייקטיבית, ניתן לקבוע כי אדם סביר – ההגנה טוענת אגב כי הנאשם הינו אדם נורמטיבי לחלוטין - עשוי היה לנסות לקפח חיים של אחר בשל רוגזו על הליכי עיקול לא מוצדקים לתפיסתו שבוצעו כנגד מטלטליו, ומשכך אין טענה אפשרית של קנטור יכולה לעמוד לנאשם</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הואיל ובמסגרת תיק זה אחת משתי טענותיו העיקריות (והיחידות) של הנאשם היא טענת הקנטור, כאשר טענה זו נבחנה בעבר למעלה מן הצורך ונדחתה, מצופה היה מן הנאשם לעלות להעיד לפנינו, להסביר, לפרט, לנמק מדוע מבחינתו התיאור בדבר "בלק אאוט" ו"קריסת המערכות" הן בעצם </w:t>
      </w:r>
      <w:r w:rsidRPr="00987F99">
        <w:rPr>
          <w:rFonts w:ascii="David" w:eastAsia="Calibri" w:hAnsi="David"/>
          <w:rtl/>
        </w:rPr>
        <w:lastRenderedPageBreak/>
        <w:t xml:space="preserve">קנטור שהביאו לכדי מעשה. היה עליו להיחקר נגדית על גרסתו זו על מנת שבית המשפט יוכל להתרשם מאמתותה (נזכיר כי בהליך הקודם בית המשפט בחן תחילה את גרסת הנאשם כחלק מטענת "היעדר שליטה" על תנועות גופניות במובנו של </w:t>
      </w:r>
      <w:r w:rsidRPr="00987F99">
        <w:rPr>
          <w:rFonts w:ascii="David" w:eastAsia="Calibri" w:hAnsi="David"/>
          <w:b/>
          <w:bCs/>
          <w:rtl/>
        </w:rPr>
        <w:t>סעיף 34ז לחוק העונשין</w:t>
      </w:r>
      <w:r w:rsidRPr="00987F99">
        <w:rPr>
          <w:rFonts w:ascii="David" w:eastAsia="Calibri" w:hAnsi="David"/>
          <w:rtl/>
        </w:rPr>
        <w:t xml:space="preserve">).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נדמה כי גם ההגנה סבורה הייתה (בשלב מסוים) כי לצורך ביסוס טענת הקנטור לא ניתן להסתמך על הקביעות העובדתיות של בית המשפט במסגרת תיק ניסיון הרצח ועל כן, נמסר על ידה בתחילתו של ההליך כי יש כוונה להעיד מחדש ארבעה עדים לעניין הקנטור (ר' פרוט' מיום 28.12.22). בסופם של דברים היא נמנעה מלעשות כן.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בכך אין סגי, מקום שבו טענת הקנטור נבחנה ונדחתה, בחינה מחודשת על ידי מותב זה יכולה להיעשות רק במידה ויש לראות את הגדרת הקנטור כיום כ"דין מקל". </w:t>
      </w:r>
    </w:p>
    <w:p w:rsidR="00987F99" w:rsidRPr="00987F99" w:rsidRDefault="00987F99" w:rsidP="00987F99">
      <w:pPr>
        <w:spacing w:before="120" w:after="120" w:line="360" w:lineRule="auto"/>
        <w:jc w:val="both"/>
        <w:rPr>
          <w:rFonts w:ascii="David" w:eastAsia="Calibri" w:hAnsi="David"/>
          <w:b/>
          <w:bCs/>
          <w:rtl/>
        </w:rPr>
      </w:pPr>
      <w:r w:rsidRPr="00987F99">
        <w:rPr>
          <w:rFonts w:ascii="David" w:eastAsia="Calibri" w:hAnsi="David"/>
          <w:rtl/>
        </w:rPr>
        <w:t xml:space="preserve">לצורך שאלה זו, נעמוד בקצרה על הגדרת ה"קנטור" לפני ואחרי תיקון 137. בדברי ההסבר להצעת חוק העונשין (תיקון מס' 124) </w:t>
      </w:r>
      <w:r w:rsidRPr="00987F99">
        <w:rPr>
          <w:rFonts w:ascii="David" w:eastAsia="Calibri" w:hAnsi="David"/>
          <w:b/>
          <w:bCs/>
          <w:rtl/>
        </w:rPr>
        <w:t xml:space="preserve">(עבירות המתה), התשע"ו-2015, ה"ח 972 </w:t>
      </w:r>
      <w:r w:rsidRPr="00987F99">
        <w:rPr>
          <w:rFonts w:ascii="David" w:eastAsia="Calibri" w:hAnsi="David"/>
          <w:rtl/>
        </w:rPr>
        <w:t>נכתב:</w:t>
      </w:r>
    </w:p>
    <w:p w:rsidR="00987F99" w:rsidRPr="00987F99" w:rsidRDefault="00987F99" w:rsidP="00A41D2A">
      <w:pPr>
        <w:spacing w:before="120" w:after="120"/>
        <w:ind w:left="608" w:right="567"/>
        <w:jc w:val="both"/>
        <w:rPr>
          <w:rFonts w:ascii="David" w:eastAsia="Calibri" w:hAnsi="David"/>
          <w:b/>
          <w:bCs/>
          <w:rtl/>
        </w:rPr>
      </w:pPr>
      <w:r w:rsidRPr="00987F99">
        <w:rPr>
          <w:rFonts w:ascii="David" w:eastAsia="Calibri" w:hAnsi="David"/>
          <w:b/>
          <w:bCs/>
          <w:rtl/>
        </w:rPr>
        <w:t xml:space="preserve"> "המבחן המוצע לקנטור בסעיף 301ב(א)(1)לחוק כנוסחו המוצע, זונח את השימוש במבחן "האדם הסביר" שזכה כאמור לביקורת, וקובע במקומו מבחן חלופי שיאפשר הקלה באחריות בנסיבות שבהן ההתגרות הובילה את העושה למצב שבו הוא התקשה במידה ניכרת לשלוט בעצמו, ובתנאי שיש בקושי, בנסיבות המקרה, כדי למתן את אשמתו של הנאשם.</w:t>
      </w:r>
      <w:r w:rsidRPr="00987F99">
        <w:rPr>
          <w:rFonts w:ascii="David" w:eastAsia="Calibri" w:hAnsi="David"/>
          <w:b/>
          <w:bCs/>
          <w:u w:val="single"/>
        </w:rPr>
        <w:t xml:space="preserve"> </w:t>
      </w:r>
      <w:r w:rsidRPr="00987F99">
        <w:rPr>
          <w:rFonts w:ascii="David" w:eastAsia="Calibri" w:hAnsi="David"/>
          <w:b/>
          <w:bCs/>
          <w:u w:val="single"/>
          <w:rtl/>
        </w:rPr>
        <w:t>המבחן המוצע משלב בין מבחן סובייקטיבי למבחן אובייקטיבי</w:t>
      </w:r>
      <w:r w:rsidRPr="00987F99">
        <w:rPr>
          <w:rFonts w:ascii="David" w:eastAsia="Calibri" w:hAnsi="David"/>
          <w:b/>
          <w:bCs/>
          <w:rtl/>
        </w:rPr>
        <w:t xml:space="preserve">. </w:t>
      </w:r>
      <w:r w:rsidRPr="00987F99">
        <w:rPr>
          <w:rFonts w:ascii="David" w:eastAsia="Calibri" w:hAnsi="David"/>
          <w:b/>
          <w:bCs/>
          <w:u w:val="single"/>
          <w:rtl/>
        </w:rPr>
        <w:t>לעניין המבחן הסובייקטיבי</w:t>
      </w:r>
      <w:r w:rsidRPr="00987F99">
        <w:rPr>
          <w:rFonts w:ascii="David" w:eastAsia="Calibri" w:hAnsi="David"/>
          <w:b/>
          <w:bCs/>
          <w:rtl/>
        </w:rPr>
        <w:t xml:space="preserve">, הדרישה היא לתגובה אמוציונלית עזה להתגרות, אשר פגעה בצורה קשה ביכולת השליטה העצמית של הנאשם. יובהר בעניין זה כי אין הכוונה למצב של העדר שליטה לפי סעיף 34ז לחוק העונשין, אלא למצב שבו נפגעה בצורה ניכרת יכולת השליטה העצמית. </w:t>
      </w:r>
      <w:r w:rsidRPr="00987F99">
        <w:rPr>
          <w:rFonts w:ascii="David" w:eastAsia="Calibri" w:hAnsi="David"/>
          <w:b/>
          <w:bCs/>
          <w:u w:val="single"/>
          <w:rtl/>
        </w:rPr>
        <w:t>לעניין המבחן הנורמטיבי, בית המשפט יידרש להכריע, אם יש ברגש העז שהתעורר בנאשם לנוכח ההתגרות והקושי הרב בשליטה העצמית כדי לגרוע מאשמתו של המקונטר</w:t>
      </w:r>
      <w:r w:rsidRPr="00987F99">
        <w:rPr>
          <w:rFonts w:ascii="David" w:eastAsia="Calibri" w:hAnsi="David"/>
          <w:b/>
          <w:bCs/>
          <w:rtl/>
        </w:rPr>
        <w:t>. בחינה זו תבוצע מנקודת מבט חברתית ומוסרית, שהיא חיצונית למקונטר</w:t>
      </w:r>
      <w:r w:rsidRPr="00987F99">
        <w:rPr>
          <w:rFonts w:ascii="David" w:eastAsia="Calibri" w:hAnsi="David"/>
          <w:b/>
          <w:bCs/>
        </w:rPr>
        <w:t xml:space="preserve">. </w:t>
      </w:r>
      <w:r w:rsidRPr="00987F99">
        <w:rPr>
          <w:rFonts w:ascii="David" w:eastAsia="Calibri" w:hAnsi="David"/>
          <w:b/>
          <w:bCs/>
          <w:rtl/>
        </w:rPr>
        <w:t>יצוין כי כדי שאשמת העושה תיחשב פחותה באופן משמעותי, צריך להתקיים יחס הולם בין טיב ההתגרות ומידתה לבין הפגיעה הניכרת בשליטה העצמית שגרמה ההתגרות. לא כל המתה במצב של איבוד ניכר של שליטה עצמית, בעקבות עלבון או אפילו הרמת יד, משקפת רמת אשמה שהיא פחותה משמעותית מרמת האשמה המאפיינת רצח</w:t>
      </w:r>
      <w:r w:rsidRPr="00987F99">
        <w:rPr>
          <w:rFonts w:ascii="David" w:eastAsia="Calibri" w:hAnsi="David"/>
          <w:b/>
          <w:bCs/>
        </w:rPr>
        <w:t xml:space="preserve"> .</w:t>
      </w:r>
      <w:r w:rsidRPr="00987F99">
        <w:rPr>
          <w:rFonts w:ascii="David" w:eastAsia="Calibri" w:hAnsi="David"/>
          <w:b/>
          <w:bCs/>
          <w:rtl/>
        </w:rPr>
        <w:t>הביטוי "למתן את אשמתו" מאפשר לבית המשפט המקיים את הבחינה הנורמטיבית לשקול כל נתון הנוגע לנסיבות המקרה, הרלוונטי בעיני בית המשפט להערכת האשמה. בכלל זה, רשאי בית המשפט להביא בחשבון את נתוניו האישיים של הנאשם, ככל שהם משליכים על מידת האשמה שבמעשה. יובהר, כי אין הכוונה שבית המשפט ישקול בגדר המבחן האמור נתונים אישיים ואחרים של הנאשם שאינם רלוונטיים למידת האשמה שבמעשה. חלק הכרחי מתפקידו של בית המשפט, בהקשר זה, הוא ליצוק תוכן למבחן הנורמטיבי המוצע, ולהתמודד עם מורכבותם של תרחישים קונקרטיים. בסופו של דבר, המבחן המוצע נועד לבטא תחושת צדק אנושית, בלי לפגוע במסר לציבור בדבר האיסור המוחלט להמית</w:t>
      </w:r>
      <w:r w:rsidRPr="00987F99">
        <w:rPr>
          <w:rFonts w:ascii="David" w:eastAsia="Calibri" w:hAnsi="David"/>
          <w:b/>
          <w:bCs/>
        </w:rPr>
        <w:t xml:space="preserve">. </w:t>
      </w:r>
      <w:r w:rsidRPr="00987F99">
        <w:rPr>
          <w:rFonts w:ascii="David" w:eastAsia="Calibri" w:hAnsi="David"/>
          <w:b/>
          <w:bCs/>
          <w:rtl/>
        </w:rPr>
        <w:t xml:space="preserve">בכל הנוגע לפרשנות המונח "התגרות" </w:t>
      </w:r>
      <w:r w:rsidRPr="00987F99">
        <w:rPr>
          <w:rFonts w:ascii="David" w:eastAsia="Calibri" w:hAnsi="David"/>
          <w:b/>
          <w:bCs/>
          <w:u w:val="single"/>
          <w:rtl/>
        </w:rPr>
        <w:t>יודגש, כי המבחן המוצע אינו בא לשנות את הדין הקיים, שלפיו המבחן להתגרות כולל בחובו ממד נורמטיבי, באופן שלא כל מעשה שהנאשם ראה בו פרובוקציה, נחשב להתגרות</w:t>
      </w:r>
      <w:r w:rsidRPr="00987F99">
        <w:rPr>
          <w:rFonts w:ascii="David" w:eastAsia="Calibri" w:hAnsi="David"/>
          <w:b/>
          <w:bCs/>
          <w:u w:val="single"/>
        </w:rPr>
        <w:t xml:space="preserve">, </w:t>
      </w:r>
      <w:r w:rsidRPr="00987F99">
        <w:rPr>
          <w:rFonts w:ascii="David" w:eastAsia="Calibri" w:hAnsi="David"/>
          <w:b/>
          <w:bCs/>
          <w:u w:val="single"/>
          <w:rtl/>
        </w:rPr>
        <w:t>אלא רק מעשים בלתי לגיטימיים במהותם, מנקודת מבט חברתית-מוסרית חיצונית לנאשם, שיש להם פוטנציאל משמעותי של הקנטה והרגזה</w:t>
      </w:r>
      <w:r w:rsidRPr="00987F99">
        <w:rPr>
          <w:rFonts w:ascii="David" w:eastAsia="Calibri" w:hAnsi="David"/>
          <w:b/>
          <w:bCs/>
          <w:rtl/>
        </w:rPr>
        <w:t xml:space="preserve"> </w:t>
      </w:r>
      <w:r w:rsidRPr="00987F99">
        <w:rPr>
          <w:rFonts w:ascii="David" w:eastAsia="Calibri" w:hAnsi="David"/>
          <w:b/>
          <w:bCs/>
        </w:rPr>
        <w:t>)</w:t>
      </w:r>
      <w:r w:rsidRPr="00987F99">
        <w:rPr>
          <w:rFonts w:ascii="David" w:eastAsia="Calibri" w:hAnsi="David"/>
          <w:b/>
          <w:bCs/>
          <w:rtl/>
        </w:rPr>
        <w:t>ראו ש"ז פלר יסודות בדיני עונשין כרך א' 560 (תשמ"ד</w:t>
      </w:r>
      <w:r w:rsidRPr="00987F99">
        <w:rPr>
          <w:rFonts w:ascii="David" w:eastAsia="Calibri" w:hAnsi="David"/>
          <w:b/>
          <w:bCs/>
        </w:rPr>
        <w:t>(</w:t>
      </w:r>
      <w:r w:rsidRPr="00987F99">
        <w:rPr>
          <w:rFonts w:ascii="David" w:eastAsia="Calibri" w:hAnsi="David"/>
          <w:b/>
          <w:bCs/>
          <w:rtl/>
        </w:rPr>
        <w:t xml:space="preserve">)." </w:t>
      </w:r>
    </w:p>
    <w:p w:rsidR="00987F99" w:rsidRPr="00987F99" w:rsidRDefault="00987F99" w:rsidP="00987F99">
      <w:pPr>
        <w:tabs>
          <w:tab w:val="left" w:pos="800"/>
        </w:tabs>
        <w:overflowPunct w:val="0"/>
        <w:autoSpaceDE w:val="0"/>
        <w:autoSpaceDN w:val="0"/>
        <w:adjustRightInd w:val="0"/>
        <w:spacing w:before="120" w:after="120" w:line="360" w:lineRule="auto"/>
        <w:jc w:val="both"/>
        <w:rPr>
          <w:rFonts w:ascii="David" w:hAnsi="David"/>
          <w:b/>
          <w:bCs/>
          <w:rtl/>
        </w:rPr>
      </w:pPr>
      <w:r w:rsidRPr="00987F99">
        <w:rPr>
          <w:rFonts w:ascii="David" w:hAnsi="David"/>
          <w:rtl/>
        </w:rPr>
        <w:lastRenderedPageBreak/>
        <w:t>ב</w:t>
      </w:r>
      <w:hyperlink r:id="rId10" w:history="1">
        <w:r w:rsidRPr="00987F99">
          <w:rPr>
            <w:rFonts w:ascii="David" w:hAnsi="David"/>
            <w:rtl/>
          </w:rPr>
          <w:t>ע"פ 1130/19</w:t>
        </w:r>
      </w:hyperlink>
      <w:r w:rsidRPr="00987F99">
        <w:rPr>
          <w:rFonts w:ascii="David" w:hAnsi="David"/>
          <w:rtl/>
        </w:rPr>
        <w:t xml:space="preserve"> </w:t>
      </w:r>
      <w:r w:rsidRPr="00987F99">
        <w:rPr>
          <w:rFonts w:ascii="David" w:hAnsi="David" w:hint="cs"/>
          <w:bCs/>
          <w:rtl/>
        </w:rPr>
        <w:t>שוא נ' מדינת ישראל</w:t>
      </w:r>
      <w:r w:rsidRPr="00987F99">
        <w:rPr>
          <w:rFonts w:ascii="David" w:hAnsi="David" w:hint="cs"/>
          <w:rtl/>
        </w:rPr>
        <w:t xml:space="preserve"> [פס' 28 לפסק דינו של השופט </w:t>
      </w:r>
      <w:r w:rsidRPr="00987F99">
        <w:rPr>
          <w:rFonts w:ascii="David" w:hAnsi="David" w:hint="cs"/>
          <w:b/>
          <w:rtl/>
        </w:rPr>
        <w:t>י' אלרון</w:t>
      </w:r>
      <w:r w:rsidRPr="00987F99">
        <w:rPr>
          <w:rFonts w:ascii="David" w:hAnsi="David" w:hint="cs"/>
          <w:rtl/>
        </w:rPr>
        <w:t>] (פורסם בנבו, 27.12.20) אליו גם הפנתה ב"כ הנאשם, עמד בית המשפט</w:t>
      </w:r>
      <w:r w:rsidRPr="00987F99">
        <w:rPr>
          <w:rFonts w:ascii="David" w:hAnsi="David" w:hint="cs"/>
          <w:b/>
          <w:bCs/>
          <w:rtl/>
        </w:rPr>
        <w:t xml:space="preserve"> </w:t>
      </w:r>
      <w:r w:rsidRPr="00987F99">
        <w:rPr>
          <w:rFonts w:ascii="David" w:hAnsi="David" w:hint="cs"/>
          <w:rtl/>
        </w:rPr>
        <w:t>על ההבדלים בין טענת הקנטור לפני ואחרי החלתה של הרפורמה לעבירות ההמתה:</w:t>
      </w:r>
    </w:p>
    <w:p w:rsidR="00987F99" w:rsidRPr="00987F99" w:rsidRDefault="00987F99" w:rsidP="00A41D2A">
      <w:pPr>
        <w:tabs>
          <w:tab w:val="left" w:pos="800"/>
        </w:tabs>
        <w:overflowPunct w:val="0"/>
        <w:autoSpaceDE w:val="0"/>
        <w:autoSpaceDN w:val="0"/>
        <w:adjustRightInd w:val="0"/>
        <w:spacing w:before="120" w:after="120"/>
        <w:ind w:left="608" w:right="567"/>
        <w:jc w:val="both"/>
        <w:rPr>
          <w:rFonts w:ascii="David" w:hAnsi="David"/>
          <w:b/>
          <w:bCs/>
          <w:rtl/>
        </w:rPr>
      </w:pPr>
      <w:r w:rsidRPr="00987F99">
        <w:rPr>
          <w:rFonts w:ascii="David" w:hAnsi="David"/>
          <w:b/>
          <w:bCs/>
          <w:rtl/>
        </w:rPr>
        <w:t>"...ועדת קרמניצר שבחנה את עבירות ההמתה, ושבעקבות הדוח שלה התקבל תיקון 137, הסבירה כי אמת המידה של אדם סביר אינה הולמת את בחינת ההתחשבות בקנטור, מאחר שלכאורה אדם סביר שולט ברוחו ואינו הורג עקב איבוד שליטה, ומפני שהיא יוצרת דימוי שגוי כאילו קנטור מקנה צידוק להריגה.</w:t>
      </w:r>
    </w:p>
    <w:p w:rsidR="00987F99" w:rsidRPr="00987F99" w:rsidRDefault="00987F99" w:rsidP="00A41D2A">
      <w:pPr>
        <w:tabs>
          <w:tab w:val="left" w:pos="800"/>
        </w:tabs>
        <w:overflowPunct w:val="0"/>
        <w:autoSpaceDE w:val="0"/>
        <w:autoSpaceDN w:val="0"/>
        <w:adjustRightInd w:val="0"/>
        <w:spacing w:before="120" w:after="120"/>
        <w:ind w:left="608" w:right="567"/>
        <w:jc w:val="both"/>
        <w:rPr>
          <w:rFonts w:ascii="David" w:hAnsi="David"/>
          <w:b/>
          <w:bCs/>
          <w:rtl/>
        </w:rPr>
      </w:pPr>
      <w:r w:rsidRPr="00987F99">
        <w:rPr>
          <w:rFonts w:ascii="David" w:hAnsi="David"/>
          <w:b/>
          <w:bCs/>
          <w:rtl/>
        </w:rPr>
        <w:t>על כן הוצע לעגן מבחן נורמטיבי הולם בשתי דרכים. ראשית, מבחינה סובייקטיבית ההתגרות תיצור "קושי רב" לנאשם לשלוט בעצמו. שנית, מבחינה אובייקטיבית הקושי ממתן את אשמת הנאשם במכלול נסיבות המקרה (הצוות לבחינת יסודות עבירות ההמתה דין-וחשבון 31–34 (2011)). הודגש כי מדובר רק ב"מעשים בלתי לגיטימיים במהותם – מנקודת מבט חברתית-מוסרית חיצונית לנאשם, שיש להם פוטנציאל משמעותי של הקנטה והרגזה' עוד צוין: 'על מנת שאשמת העושה תפחת באופן משמעותי, צריך להתקיים יחס הולם בין טיב ומידת ההתגרות לבין הפגיעה הניכרת בשליטה העצמית, שנגרמה על ידה (להבדיל מהתגובה הקטלנית). לא כל המתה במצב של איבוד ניכר של שליטה עצמית, בעקבות עלבון או אפילו הרמת יד, משקפת רמת אשמה שהיא פחותה משמעותית מרמת האשמה המאפיינת רצח. השאלה אם היא כזו, אם לאו, תלויה במידה רבה בשאלה, האם בנסיבות המיוחדות של המקרה, איבוד העשתונות של הממית כשלעצמו (אך לא, בשום פנים, המעשה הקטלני שלו), נוכח ההתגרות שהביאה לכך, ראוי להבנה של החברה, כביטוי לחולשת הטבע האנושי. לא ניתן להשיב על שאלה זו באופן מופשט, אלא רק תוך בחינה מפורטת ומדוקדקת של נסיבות המקרה. לא אחת, כדי להשיב לשאלה האמורה, צריך יהיה לבחון לא רק את ההתגרות, אלא גם את מה שקדם לה, ולעתים אף את מערכת היחסים בין הצדדים'(שם, בעמ' 33)...</w:t>
      </w:r>
      <w:r w:rsidRPr="00987F99">
        <w:rPr>
          <w:rFonts w:ascii="David" w:hAnsi="David"/>
          <w:rtl/>
        </w:rPr>
        <w:t>".</w:t>
      </w:r>
      <w:r w:rsidRPr="00987F99">
        <w:rPr>
          <w:rFonts w:ascii="David" w:hAnsi="David"/>
          <w:b/>
          <w:bCs/>
          <w:rtl/>
        </w:rPr>
        <w:t xml:space="preserve"> </w:t>
      </w:r>
    </w:p>
    <w:p w:rsidR="00987F99" w:rsidRPr="00987F99" w:rsidRDefault="00987F99" w:rsidP="00987F99">
      <w:pPr>
        <w:tabs>
          <w:tab w:val="left" w:pos="800"/>
        </w:tabs>
        <w:overflowPunct w:val="0"/>
        <w:autoSpaceDE w:val="0"/>
        <w:autoSpaceDN w:val="0"/>
        <w:adjustRightInd w:val="0"/>
        <w:spacing w:before="120" w:after="120" w:line="360" w:lineRule="auto"/>
        <w:ind w:left="84" w:right="284"/>
        <w:jc w:val="both"/>
        <w:rPr>
          <w:rFonts w:ascii="David" w:hAnsi="David"/>
          <w:b/>
          <w:bCs/>
          <w:rtl/>
        </w:rPr>
      </w:pPr>
      <w:r w:rsidRPr="00987F99">
        <w:rPr>
          <w:rFonts w:ascii="David" w:hAnsi="David"/>
          <w:rtl/>
        </w:rPr>
        <w:t xml:space="preserve">עוד ר' התייחסות לשוני בהגדרת הקנטור בפסיקה מאוחרת יותר בע"פ </w:t>
      </w:r>
      <w:r w:rsidRPr="00987F99">
        <w:rPr>
          <w:rFonts w:ascii="David" w:hAnsi="David"/>
          <w:color w:val="000000"/>
          <w:rtl/>
        </w:rPr>
        <w:t>8363/19</w:t>
      </w:r>
      <w:r w:rsidRPr="00987F99">
        <w:rPr>
          <w:rFonts w:ascii="David" w:hAnsi="David"/>
          <w:b/>
          <w:bCs/>
          <w:color w:val="000000"/>
          <w:rtl/>
        </w:rPr>
        <w:t xml:space="preserve">  רם גרנות נ' מדינת ישראל</w:t>
      </w:r>
      <w:r w:rsidRPr="00987F99">
        <w:rPr>
          <w:rFonts w:ascii="David" w:hAnsi="David"/>
          <w:b/>
          <w:bCs/>
          <w:rtl/>
        </w:rPr>
        <w:t xml:space="preserve"> </w:t>
      </w:r>
      <w:r w:rsidRPr="00987F99">
        <w:rPr>
          <w:rFonts w:ascii="David" w:hAnsi="David"/>
          <w:rtl/>
        </w:rPr>
        <w:t>[פס' 8 לפסק דינו של כב' הש' הנדל](פורסם בנבו, 8.6.21).</w:t>
      </w:r>
    </w:p>
    <w:p w:rsidR="00987F99" w:rsidRPr="00987F99" w:rsidRDefault="00987F99" w:rsidP="00987F99">
      <w:pPr>
        <w:tabs>
          <w:tab w:val="left" w:pos="800"/>
        </w:tabs>
        <w:overflowPunct w:val="0"/>
        <w:autoSpaceDE w:val="0"/>
        <w:autoSpaceDN w:val="0"/>
        <w:adjustRightInd w:val="0"/>
        <w:spacing w:before="120" w:after="120" w:line="360" w:lineRule="auto"/>
        <w:ind w:left="84" w:right="284"/>
        <w:jc w:val="both"/>
        <w:rPr>
          <w:rFonts w:ascii="David" w:hAnsi="David"/>
          <w:b/>
          <w:bCs/>
          <w:rtl/>
        </w:rPr>
      </w:pPr>
      <w:r w:rsidRPr="00987F99">
        <w:rPr>
          <w:rFonts w:ascii="David" w:hAnsi="David"/>
          <w:rtl/>
        </w:rPr>
        <w:t xml:space="preserve">על רקע שוני זה נשאלת כאמור השאלה האם מדובר בדין מקל. </w:t>
      </w:r>
      <w:r w:rsidRPr="00987F99">
        <w:rPr>
          <w:rFonts w:ascii="David" w:hAnsi="David"/>
          <w:b/>
          <w:bCs/>
          <w:rtl/>
        </w:rPr>
        <w:t xml:space="preserve">בע"פ 640/21 עאמר נ' מדינת ישראל </w:t>
      </w:r>
      <w:r w:rsidRPr="00987F99">
        <w:rPr>
          <w:rFonts w:ascii="David" w:hAnsi="David"/>
          <w:rtl/>
        </w:rPr>
        <w:t>(פורסם בנבו, 7.7.22),</w:t>
      </w:r>
      <w:r w:rsidRPr="00987F99">
        <w:rPr>
          <w:rFonts w:ascii="David" w:hAnsi="David"/>
          <w:b/>
          <w:bCs/>
          <w:rtl/>
        </w:rPr>
        <w:t xml:space="preserve"> </w:t>
      </w:r>
      <w:r w:rsidRPr="00987F99">
        <w:rPr>
          <w:rFonts w:ascii="David" w:hAnsi="David"/>
          <w:rtl/>
        </w:rPr>
        <w:t xml:space="preserve">סבור היה בית המשפט העליון כי אין לראות בדין החדש כמקל: </w:t>
      </w:r>
    </w:p>
    <w:p w:rsidR="00987F99" w:rsidRPr="00987F99" w:rsidRDefault="00987F99" w:rsidP="00A41D2A">
      <w:pPr>
        <w:ind w:left="651" w:right="567"/>
        <w:jc w:val="both"/>
        <w:rPr>
          <w:rFonts w:ascii="David" w:hAnsi="David"/>
          <w:b/>
          <w:bCs/>
          <w:rtl/>
        </w:rPr>
      </w:pPr>
      <w:r w:rsidRPr="00987F99">
        <w:rPr>
          <w:rFonts w:ascii="David" w:hAnsi="David"/>
          <w:b/>
          <w:bCs/>
          <w:rtl/>
        </w:rPr>
        <w:t>"</w:t>
      </w:r>
      <w:r w:rsidRPr="00987F99">
        <w:rPr>
          <w:rFonts w:ascii="David" w:hAnsi="David"/>
          <w:b/>
          <w:bCs/>
          <w:u w:val="single"/>
          <w:rtl/>
        </w:rPr>
        <w:t>סבורני כי שינוי זה אינו מהווה שינוי לקולא ביסודות העבירה או בהגדרתה</w:t>
      </w:r>
      <w:r w:rsidRPr="00987F99">
        <w:rPr>
          <w:rFonts w:ascii="David" w:hAnsi="David"/>
          <w:b/>
          <w:bCs/>
        </w:rPr>
        <w:t xml:space="preserve">: </w:t>
      </w:r>
      <w:r w:rsidRPr="00987F99">
        <w:rPr>
          <w:rFonts w:ascii="David" w:hAnsi="David"/>
          <w:b/>
          <w:bCs/>
          <w:rtl/>
        </w:rPr>
        <w:t xml:space="preserve">מדו"ח ועדת קרמניצר – אשר בחנה את עבירות ההמתה, ובעקבות הדו"ח שהגישה התקבל תיקון 137 – עולה כי ההסדר החדש בדבר קנטור מכוון לשנות את דימויו השגוי של קנטור כמעין צידוק חלקי למעשה המתה [...] הביטוי "כדי למתן את אשמתו", אשר מופיע בסעיף 301ב(ב)(1)(ב) לחוק, נועד למטרה זאת (...) </w:t>
      </w:r>
      <w:r w:rsidRPr="00987F99">
        <w:rPr>
          <w:rFonts w:ascii="David" w:hAnsi="David"/>
          <w:b/>
          <w:bCs/>
          <w:u w:val="single"/>
          <w:rtl/>
        </w:rPr>
        <w:t xml:space="preserve">והוא אינו בבחינת נורמה מקלה </w:t>
      </w:r>
      <w:r w:rsidRPr="00987F99">
        <w:rPr>
          <w:rFonts w:ascii="David" w:hAnsi="David"/>
          <w:b/>
          <w:bCs/>
          <w:rtl/>
        </w:rPr>
        <w:t>– שכן הרף הנורמטיבי, אשר ייושם בכל מקרה ומקרה לגופו, ייקבע בהתאמה לנסיבותיו הפרטיקולריות של מעשה ההמתה, והוא עשוי להיות מקל או מחמיר יותר מאמת-המידה שאותה יישמנו עד כה</w:t>
      </w:r>
      <w:r w:rsidRPr="00987F99">
        <w:rPr>
          <w:rFonts w:ascii="David" w:hAnsi="David"/>
          <w:b/>
          <w:bCs/>
        </w:rPr>
        <w:t>.</w:t>
      </w:r>
      <w:r w:rsidRPr="00987F99">
        <w:rPr>
          <w:rFonts w:ascii="David" w:hAnsi="David"/>
          <w:b/>
          <w:bCs/>
          <w:rtl/>
        </w:rPr>
        <w:t xml:space="preserve">" </w:t>
      </w:r>
      <w:r w:rsidRPr="00987F99">
        <w:rPr>
          <w:rFonts w:ascii="David" w:hAnsi="David"/>
          <w:rtl/>
        </w:rPr>
        <w:t>[פסקה 56 לפסק דינו של כב' הש' שטיין].</w:t>
      </w:r>
    </w:p>
    <w:p w:rsidR="00987F99" w:rsidRPr="00987F99" w:rsidRDefault="00987F99" w:rsidP="00987F99">
      <w:pPr>
        <w:ind w:left="651" w:right="284"/>
        <w:jc w:val="both"/>
        <w:rPr>
          <w:rFonts w:ascii="David" w:hAnsi="David"/>
          <w:b/>
          <w:bCs/>
          <w:rtl/>
        </w:rPr>
      </w:pPr>
    </w:p>
    <w:p w:rsidR="00987F99" w:rsidRPr="00987F99" w:rsidRDefault="00987F99" w:rsidP="00987F99">
      <w:pPr>
        <w:spacing w:before="120" w:after="120" w:line="360" w:lineRule="auto"/>
        <w:ind w:left="84"/>
        <w:jc w:val="both"/>
        <w:rPr>
          <w:rFonts w:ascii="Times New Roman" w:hAnsi="Times New Roman" w:cs="Times New Roman"/>
          <w:rtl/>
        </w:rPr>
      </w:pPr>
      <w:r w:rsidRPr="00987F99">
        <w:rPr>
          <w:rFonts w:ascii="David" w:hAnsi="David"/>
          <w:rtl/>
        </w:rPr>
        <w:t xml:space="preserve">בדומה, בע"פ 7229/20 </w:t>
      </w:r>
      <w:r w:rsidRPr="00987F99">
        <w:rPr>
          <w:rFonts w:ascii="David" w:hAnsi="David"/>
          <w:b/>
          <w:bCs/>
          <w:rtl/>
        </w:rPr>
        <w:t>מירזייב נ' מדינת ישראל</w:t>
      </w:r>
      <w:r w:rsidRPr="00987F99">
        <w:rPr>
          <w:rFonts w:ascii="David" w:hAnsi="David"/>
          <w:rtl/>
        </w:rPr>
        <w:t xml:space="preserve"> (פסקה 33 לפסק דינו של השופט אלרון (פורסם בנבו, 20.12.21) נקבע כי אין המדובר בדין מקל,  תוך הישענות על הזהות של העונש שבפניו ניצב הנאשם גם לאחר השינוי בחוק ולא על הגדרתה החדשה של הקנטור: </w:t>
      </w:r>
      <w:r w:rsidRPr="00987F99">
        <w:rPr>
          <w:rFonts w:ascii="David" w:hAnsi="David"/>
          <w:b/>
          <w:bCs/>
          <w:rtl/>
        </w:rPr>
        <w:t>"לכאורה ניתן היה לטעון, כי סעיף 301ב(ב)(3)</w:t>
      </w:r>
      <w:r w:rsidRPr="00987F99">
        <w:rPr>
          <w:rFonts w:ascii="David" w:hAnsi="David"/>
          <w:b/>
          <w:bCs/>
        </w:rPr>
        <w:t> </w:t>
      </w:r>
      <w:r w:rsidRPr="00987F99">
        <w:rPr>
          <w:rFonts w:ascii="David" w:hAnsi="David"/>
          <w:b/>
          <w:bCs/>
          <w:rtl/>
        </w:rPr>
        <w:t xml:space="preserve">לחוק העונשין, הנושא את הכותרת "המתה בנסיבות של אחריות מופחתת" </w:t>
      </w:r>
      <w:r w:rsidRPr="00987F99">
        <w:rPr>
          <w:rFonts w:ascii="David" w:hAnsi="David"/>
          <w:b/>
          <w:bCs/>
          <w:rtl/>
        </w:rPr>
        <w:lastRenderedPageBreak/>
        <w:t>יכול היה לחול על המקרה דנן, ואולם סעיף זה לא מתקיים בענייננו [...] עבירה זו אינה בבחינת "דין מקל" ביחס לעבירה שבה הורשע המערער (עבירת ההריגה), </w:t>
      </w:r>
      <w:r w:rsidRPr="00987F99">
        <w:rPr>
          <w:rFonts w:ascii="David" w:hAnsi="David"/>
          <w:b/>
          <w:bCs/>
          <w:spacing w:val="10"/>
          <w:rtl/>
        </w:rPr>
        <w:t>שכן העונש בגין שתי העבירות הללו עומד על 20 שנה</w:t>
      </w:r>
      <w:r w:rsidRPr="00987F99">
        <w:rPr>
          <w:rFonts w:ascii="David" w:hAnsi="David"/>
          <w:rtl/>
        </w:rPr>
        <w:t>" (פסקה 33 לפסק דינו של כב' הש' אלרון)</w:t>
      </w:r>
      <w:r w:rsidRPr="00987F99">
        <w:rPr>
          <w:rFonts w:ascii="David" w:hAnsi="David"/>
          <w:shd w:val="clear" w:color="auto" w:fill="FFFFFF"/>
          <w:rtl/>
        </w:rPr>
        <w:t xml:space="preserve">. </w:t>
      </w:r>
    </w:p>
    <w:p w:rsidR="00987F99" w:rsidRPr="00987F99" w:rsidRDefault="00987F99" w:rsidP="00987F99">
      <w:pPr>
        <w:spacing w:before="120" w:after="120" w:line="360" w:lineRule="auto"/>
        <w:jc w:val="both"/>
        <w:rPr>
          <w:rFonts w:ascii="Calibri" w:eastAsia="Calibri" w:hAnsi="Calibri" w:cs="Arial"/>
          <w:rtl/>
        </w:rPr>
      </w:pPr>
      <w:r w:rsidRPr="00987F99">
        <w:rPr>
          <w:rFonts w:ascii="David" w:eastAsia="Calibri" w:hAnsi="David"/>
          <w:rtl/>
        </w:rPr>
        <w:t xml:space="preserve">חרף קביעות אלו, במקרה שלפנינו, לא מצאנו להכריע בסוגיה ואיננו נדרשים לכך. זאת אנו עושים שכן אפילו נצא מנקודת הנחה לפיה מדובר בדין מקל, הרי שגם על פי ההגדרה החדשה של הקנטור, והחלת המבחן הנורמטיבי, הנאשם לא קונטר ואף לא קרוב לכך.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באשר למבחן הסובייקטיבי, וכידוע, גם הוא כולל בחובו רכיב נורמטיבי שהרי לא ניתן לראות בכל מעשה קל או אמירה משום התגרות או פרובוקציה. כמצוטט מעלה, יש להראות כי אותם מעשים נטענים הם בעלי פוטנציאל משמעותי של הקנטה והרגזה. בדומה, וכמפורט בדברי ההסבר יש הגורסים כי יש להראות כי מדובר במעשים "בלתי לגיטימיים במהותם".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בעניינו "הפרובוקציה" מצד המנוח הייתה בכך שסירב חרף טענות כאלה ואחרות מצדו של הנאשם לעשות שימוש בסמכותו ולבטל את העיקול שהוטל על המיטלטלין. לא איומים קשים, לא עלבונות קשים, לא תקיפה ולא כל דבר הקרוב לכך. עניין לנו בדחיית טענותיו של הנאשם לפיהם שילם כבר את חובו וכי עיקול המיטלטלין נעשה בכתובת שגויה.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אכן הנאשם לפי דבריו פנה לאנשים שונים במועצה, ניסה לשכנע, עבר מגורם לגורם ואף "טורטר" כפי דבריו 20 פעם מגורם אחד למשנהו. כך גם מוכנים אנו להניח (לצורך הדיון) כי עובר לירי המנוח אמר לו "</w:t>
      </w:r>
      <w:r w:rsidRPr="00987F99">
        <w:rPr>
          <w:rFonts w:ascii="David" w:eastAsia="Calibri" w:hAnsi="David"/>
          <w:b/>
          <w:bCs/>
          <w:rtl/>
        </w:rPr>
        <w:t>לא מעניין אותי כלום, תעשה מה שאתה רוצה</w:t>
      </w:r>
      <w:r w:rsidRPr="00987F99">
        <w:rPr>
          <w:rFonts w:ascii="David" w:eastAsia="Calibri" w:hAnsi="David"/>
          <w:rtl/>
        </w:rPr>
        <w:t>". ודוק, מכלול התיאורים מלמד כי דובר במחלוקת כספית בין תושב לרשות מקומית, מעין טענת "פרעתי", שלא התקבלה על ידי המנוח. קביעת בית המשפט במסגרת תיק ניסיון הרצח לפיה הנאשם נשמע מטיח במנוח עובר לכך שירה בו "</w:t>
      </w:r>
      <w:r w:rsidRPr="00987F99">
        <w:rPr>
          <w:rFonts w:ascii="David" w:eastAsia="Calibri" w:hAnsi="David"/>
          <w:b/>
          <w:bCs/>
          <w:rtl/>
        </w:rPr>
        <w:t>מי אתה שתגיד לי מה לשלם</w:t>
      </w:r>
      <w:r w:rsidRPr="00987F99">
        <w:rPr>
          <w:rFonts w:ascii="David" w:eastAsia="Calibri" w:hAnsi="David"/>
          <w:rtl/>
        </w:rPr>
        <w:t xml:space="preserve">" (עמ' 69 להכרעת הדין) מתיישבת אף היא עם האמור.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אין לראות בהתנהלותו של </w:t>
      </w:r>
      <w:r w:rsidR="00CC6733">
        <w:rPr>
          <w:rFonts w:ascii="David" w:eastAsia="Calibri" w:hAnsi="David"/>
          <w:rtl/>
        </w:rPr>
        <w:t>ת.מ</w:t>
      </w:r>
      <w:r w:rsidRPr="00987F99">
        <w:rPr>
          <w:rFonts w:ascii="David" w:eastAsia="Calibri" w:hAnsi="David"/>
          <w:rtl/>
        </w:rPr>
        <w:t xml:space="preserve"> ככזו שעונה לרכיב הנורמטיבי של ה"התגרות", ובוודאי לא כאלה שיש לראותם כ"מעשים בלתי לגיטימיים במהותם". אדרבא, </w:t>
      </w:r>
      <w:r w:rsidR="00CC6733">
        <w:rPr>
          <w:rFonts w:ascii="David" w:eastAsia="Calibri" w:hAnsi="David"/>
          <w:rtl/>
        </w:rPr>
        <w:t>ת.מ</w:t>
      </w:r>
      <w:r w:rsidRPr="00987F99">
        <w:rPr>
          <w:rFonts w:ascii="David" w:eastAsia="Calibri" w:hAnsi="David"/>
          <w:rtl/>
        </w:rPr>
        <w:t xml:space="preserve"> ביקש כפי הנלמד לבצע נאמנה את משרתו המורכבת במסגרת "יום עיקולים" שבוצע באותה העת. קביעה כי ההתנהלות הנטענת של </w:t>
      </w:r>
      <w:r w:rsidR="00CC6733">
        <w:rPr>
          <w:rFonts w:ascii="David" w:eastAsia="Calibri" w:hAnsi="David"/>
          <w:rtl/>
        </w:rPr>
        <w:t>ת.מ</w:t>
      </w:r>
      <w:r w:rsidRPr="00987F99">
        <w:rPr>
          <w:rFonts w:ascii="David" w:eastAsia="Calibri" w:hAnsi="David"/>
          <w:rtl/>
        </w:rPr>
        <w:t xml:space="preserve"> ששימש כמנהל מחלקת גבייה, היא בבחינת התגרות לצורך שאלת הקנטור, אינה מקובלת </w:t>
      </w:r>
      <w:r w:rsidRPr="00987F99">
        <w:rPr>
          <w:rFonts w:ascii="David" w:eastAsia="Calibri" w:hAnsi="David"/>
          <w:u w:val="single"/>
          <w:rtl/>
        </w:rPr>
        <w:t>ואף אינה ראויה</w:t>
      </w:r>
      <w:r w:rsidRPr="00987F99">
        <w:rPr>
          <w:rFonts w:ascii="David" w:eastAsia="Calibri" w:hAnsi="David"/>
          <w:rtl/>
        </w:rPr>
        <w:t>. עמדת</w:t>
      </w:r>
      <w:r w:rsidR="008E5FF0">
        <w:rPr>
          <w:rFonts w:ascii="David" w:eastAsia="Calibri" w:hAnsi="David" w:hint="cs"/>
          <w:rtl/>
        </w:rPr>
        <w:t>נ</w:t>
      </w:r>
      <w:r w:rsidRPr="00987F99">
        <w:rPr>
          <w:rFonts w:ascii="David" w:eastAsia="Calibri" w:hAnsi="David"/>
          <w:rtl/>
        </w:rPr>
        <w:t xml:space="preserve">ו בעינה הייתה עומדת גם אם היו תימוכין לכל טענותיו של הנאשם לפיהם העיקול לא היה מוצדק ובוצע בטעות בביתה של בתו, ובעניין זה אף שבית המשפט לא קבע מסמרות בעניין, הוא נטה שלא לקבל טענתו בעניין (ר' עמ' 82 להכרעת הדין).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גם בנוגע לרכיב הסובייקטיבי ה"טהור" לא השתכנענו כי</w:t>
      </w:r>
      <w:r w:rsidRPr="00987F99">
        <w:rPr>
          <w:rFonts w:ascii="David" w:eastAsia="Calibri" w:hAnsi="David"/>
          <w:b/>
          <w:bCs/>
          <w:rtl/>
        </w:rPr>
        <w:t xml:space="preserve"> </w:t>
      </w:r>
      <w:r w:rsidRPr="00987F99">
        <w:rPr>
          <w:rFonts w:ascii="David" w:eastAsia="Calibri" w:hAnsi="David"/>
          <w:rtl/>
        </w:rPr>
        <w:t xml:space="preserve">מעשיו של </w:t>
      </w:r>
      <w:r w:rsidR="00CC6733">
        <w:rPr>
          <w:rFonts w:ascii="David" w:eastAsia="Calibri" w:hAnsi="David"/>
          <w:rtl/>
        </w:rPr>
        <w:t>ת.מ</w:t>
      </w:r>
      <w:r w:rsidRPr="00987F99">
        <w:rPr>
          <w:rFonts w:ascii="David" w:eastAsia="Calibri" w:hAnsi="David"/>
          <w:rtl/>
        </w:rPr>
        <w:t xml:space="preserve"> הביאו את הנאשם  </w:t>
      </w:r>
      <w:r w:rsidRPr="00987F99">
        <w:rPr>
          <w:rFonts w:ascii="David" w:eastAsia="Calibri" w:hAnsi="David"/>
          <w:b/>
          <w:bCs/>
          <w:rtl/>
        </w:rPr>
        <w:t>לתגובה אמוציונלית עזה אשר פגעה בצורה קשה ביכולת השליטה העצמית שלו</w:t>
      </w:r>
      <w:r w:rsidRPr="00987F99">
        <w:rPr>
          <w:rFonts w:ascii="David" w:eastAsia="Calibri" w:hAnsi="David"/>
          <w:rtl/>
        </w:rPr>
        <w:t xml:space="preserve">. נדגיש כי בשונה מהנטען על ידי ההגנה, בית המשפט במסגרת תיק ניסיון הרצח לא קבע בבוחנו את הקנטור (בנוסחו הקודם) כי הנאשם עמד במבחן הסובייקטיבי. בית המשפט ראה לנכון שלא להידרש לעניין זה נוכח המסקנה </w:t>
      </w:r>
      <w:r w:rsidRPr="00987F99">
        <w:rPr>
          <w:rFonts w:ascii="David" w:eastAsia="Calibri" w:hAnsi="David"/>
          <w:rtl/>
        </w:rPr>
        <w:lastRenderedPageBreak/>
        <w:t>הברורה כי "אדם סביר" לא עשוי היה לנסות ולקפח חיים של אחר בשל רוגזו על הליכי עיקול לא מוצדקים. הדברים צוינו במפורש בפתח מסקנתו זו, עת נכתב כי "</w:t>
      </w:r>
      <w:r w:rsidRPr="00987F99">
        <w:rPr>
          <w:rFonts w:ascii="David" w:eastAsia="Calibri" w:hAnsi="David"/>
          <w:b/>
          <w:bCs/>
          <w:rtl/>
        </w:rPr>
        <w:t xml:space="preserve">גם אם </w:t>
      </w:r>
      <w:r w:rsidRPr="00987F99">
        <w:rPr>
          <w:rFonts w:ascii="David" w:eastAsia="Calibri" w:hAnsi="David"/>
          <w:b/>
          <w:bCs/>
          <w:u w:val="single"/>
          <w:rtl/>
        </w:rPr>
        <w:t>נניח לצורך הדיון</w:t>
      </w:r>
      <w:r w:rsidRPr="00987F99">
        <w:rPr>
          <w:rFonts w:ascii="David" w:eastAsia="Calibri" w:hAnsi="David"/>
          <w:b/>
          <w:bCs/>
          <w:rtl/>
        </w:rPr>
        <w:t xml:space="preserve"> – </w:t>
      </w:r>
      <w:r w:rsidRPr="00987F99">
        <w:rPr>
          <w:rFonts w:ascii="David" w:eastAsia="Calibri" w:hAnsi="David"/>
          <w:b/>
          <w:bCs/>
          <w:u w:val="single"/>
          <w:rtl/>
        </w:rPr>
        <w:t>הנחה שקשה לבחנה נוכח הכחשת הנאשם כי ביצע ירי מכוון</w:t>
      </w:r>
      <w:r w:rsidRPr="00987F99">
        <w:rPr>
          <w:rFonts w:ascii="David" w:eastAsia="Calibri" w:hAnsi="David"/>
          <w:b/>
          <w:bCs/>
          <w:rtl/>
        </w:rPr>
        <w:t xml:space="preserve"> – כי הושפע סובייקטיבית...</w:t>
      </w:r>
      <w:r w:rsidRPr="00987F99">
        <w:rPr>
          <w:rFonts w:ascii="David" w:eastAsia="Calibri" w:hAnsi="David"/>
          <w:rtl/>
        </w:rPr>
        <w:t xml:space="preserve">" (שם, עמ' 83).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יתרה מכך, חלק ממצאי העובדה של בית המשפט בהליך הקודם מלמדים דווקא על קור רוחו של הנאשם ולאו דווקא על אובדן עשתונות. כך, נציין את קביעתו לפיה השיחה בחדרו של הגזבר עובר לירי "</w:t>
      </w:r>
      <w:r w:rsidRPr="00987F99">
        <w:rPr>
          <w:rFonts w:ascii="David" w:eastAsia="Calibri" w:hAnsi="David"/>
          <w:b/>
          <w:bCs/>
          <w:rtl/>
        </w:rPr>
        <w:t>לא עלתה לטונים גבוהים וכלל לא משכה את תשומת ליבן של העדות</w:t>
      </w:r>
      <w:r w:rsidRPr="00987F99">
        <w:rPr>
          <w:rFonts w:ascii="David" w:eastAsia="Calibri" w:hAnsi="David"/>
          <w:rtl/>
        </w:rPr>
        <w:t xml:space="preserve">" (שם, עמ' 69); את הקביעה כי הנאשם, בשונה ממנהגו, הגיע למועצה כשהוא נושא על גופו את האקדח הגם שקיים ספק האם הנשק הובא למטרות איום או ירי (שם, עמ' 73, עמ' 80); את הקביעה לפיה לאחר הירי הנאשם עמד בסמוך לגופו של </w:t>
      </w:r>
      <w:r w:rsidR="00CC6733">
        <w:rPr>
          <w:rFonts w:ascii="David" w:eastAsia="Calibri" w:hAnsi="David"/>
          <w:rtl/>
        </w:rPr>
        <w:t>ת.מ</w:t>
      </w:r>
      <w:r w:rsidRPr="00987F99">
        <w:rPr>
          <w:rFonts w:ascii="David" w:eastAsia="Calibri" w:hAnsi="David"/>
          <w:rtl/>
        </w:rPr>
        <w:t xml:space="preserve"> בעודו פצוע אנושות "</w:t>
      </w:r>
      <w:r w:rsidRPr="00987F99">
        <w:rPr>
          <w:rFonts w:ascii="David" w:eastAsia="Calibri" w:hAnsi="David"/>
          <w:b/>
          <w:bCs/>
          <w:rtl/>
        </w:rPr>
        <w:t>והתבונן בנעשה בלא לנקוף אצבע כדי להושיט לו עזרה, או למצער, לצעוק כי מדובר בירי לא מכוון, ולאחר מכן סר על עקבותיו והלך לעבר חדר הגזבר ללא גילוי חרטה כלשהי. בעניין זה, נציין, כי טענת הנאשם כי הניח את האקדח מיד לאחר מכן מיזמתו, על שולחן הגזבר – ככל שהדברים אינם מדויקים – מצביעה על כך כי היה מודע לנעשה סביבו, כשם שהיה מודע לפעולות הכנת הנשק לירי, שניות אחדות קודם לכן</w:t>
      </w:r>
      <w:r w:rsidRPr="00987F99">
        <w:rPr>
          <w:rFonts w:ascii="David" w:eastAsia="Calibri" w:hAnsi="David"/>
          <w:rtl/>
        </w:rPr>
        <w:t>" (שם, עמ' 81). פועל יוצא של הדברים כי לא הונחה בפני בית המשפט תשתית ראייתית מספקת בהליך הקודם וכך גם בהליך שבפנינו, ללמד על "תגובה אמוציונלית עזה" להתגרות אשר פגעה בצורה קשה ביכולת השליטה העצמית של הנאשם.</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ולמעלה מצרכי צרכי העניין, גם אם נניח שיש לראות בהתנהלותו של </w:t>
      </w:r>
      <w:r w:rsidR="00CC6733">
        <w:rPr>
          <w:rFonts w:ascii="David" w:eastAsia="Calibri" w:hAnsi="David"/>
          <w:rtl/>
        </w:rPr>
        <w:t>ת.מ</w:t>
      </w:r>
      <w:r w:rsidRPr="00987F99">
        <w:rPr>
          <w:rFonts w:ascii="David" w:eastAsia="Calibri" w:hAnsi="David"/>
          <w:rtl/>
        </w:rPr>
        <w:t xml:space="preserve"> משום התגרות העונה על הרכיב הנורמטיבי במבחן הסובייקטיבי, וגם אם נמצא כי מבחינה סובייקטיבית אכן הנאשם הגיע לכדי פגיעה ניכרת בשליטתו העצמית (ואין זו קביעתנו); הרי שבמובהק אין לראות בהתנהלותו זו, בצירוף כל הנסיבות הרלוונטיות, ככאלה שיש בהן משום "למתן את אשמתו של הנאשם". בפרט אין לדבר על יחס הולם בין טיב ומידת ההתגרות לבין הפגיעה הניכרת בשליטה העצמית. החלת מבחן ערכי וחברתי על התנהלותו של הנאשם בנסיבות העניין, לא רק שאינה מלמדת על מיתון תחושת האשם, אלא "צובעת" את התנהלותו של הנאשם בחומרה יתרה.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"תחושת הצדק האנושית"</w:t>
      </w:r>
      <w:r w:rsidRPr="00987F99">
        <w:rPr>
          <w:rFonts w:ascii="Calibri" w:eastAsia="Calibri" w:hAnsi="Calibri" w:cs="Arial"/>
          <w:sz w:val="22"/>
          <w:szCs w:val="22"/>
          <w:rtl/>
        </w:rPr>
        <w:t xml:space="preserve"> </w:t>
      </w:r>
      <w:r w:rsidRPr="00987F99">
        <w:rPr>
          <w:rFonts w:ascii="David" w:eastAsia="Calibri" w:hAnsi="David"/>
          <w:rtl/>
        </w:rPr>
        <w:t xml:space="preserve">אינה מאפשרת הקלה באחריותו של נאשם שהביא לקטילת חייו של עובד ציבור אך בשל כך שמילא את תפקידו, תפקיד שממילא הוא מורכב, קשה, ולא אחת דורש תעצומות נפש נוכח החיכוך המובנה הנגזר מהליכי גבייה ועיקול.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b/>
          <w:bCs/>
          <w:rtl/>
        </w:rPr>
        <w:t>לסיכום פרק זה</w:t>
      </w:r>
      <w:r w:rsidRPr="00987F99">
        <w:rPr>
          <w:rFonts w:ascii="David" w:eastAsia="Calibri" w:hAnsi="David"/>
          <w:rtl/>
        </w:rPr>
        <w:t xml:space="preserve">: מלכתחילה, נוכח גרסת הנאשם אז כהיום, ספק רב האם ישנה תשתית עובדתית המצדיקה בחינתו של הקנטור; ספק האם מדובר בדין מקל; הנאשם אינו עומד במבחן הנורמטיבי הסובייקטיבי והראיות בנוגע לפגיעה הקשה בשליטתו העצמית דלות ביותר; ואם בכך לא די, הנאשם אינו עומד במבחן הנורמטיבי. מכל האמור, דינה של טענת הקנטור להידחות מכל וכל. </w:t>
      </w:r>
    </w:p>
    <w:p w:rsidR="00CC6733" w:rsidRDefault="00CC6733" w:rsidP="00987F99">
      <w:pPr>
        <w:spacing w:before="120" w:after="120" w:line="360" w:lineRule="auto"/>
        <w:jc w:val="center"/>
        <w:rPr>
          <w:rFonts w:ascii="David" w:eastAsia="Calibri" w:hAnsi="David"/>
          <w:b/>
          <w:bCs/>
          <w:u w:val="single"/>
          <w:rtl/>
        </w:rPr>
      </w:pPr>
    </w:p>
    <w:p w:rsidR="00987F99" w:rsidRPr="00987F99" w:rsidRDefault="00987F99" w:rsidP="00987F99">
      <w:pPr>
        <w:spacing w:before="120" w:after="120" w:line="360" w:lineRule="auto"/>
        <w:jc w:val="center"/>
        <w:rPr>
          <w:rFonts w:ascii="David" w:eastAsia="Calibri" w:hAnsi="David"/>
          <w:b/>
          <w:bCs/>
          <w:u w:val="single"/>
          <w:rtl/>
        </w:rPr>
      </w:pPr>
      <w:r w:rsidRPr="00987F99">
        <w:rPr>
          <w:rFonts w:ascii="David" w:eastAsia="Calibri" w:hAnsi="David"/>
          <w:b/>
          <w:bCs/>
          <w:u w:val="single"/>
          <w:rtl/>
        </w:rPr>
        <w:lastRenderedPageBreak/>
        <w:t>יסודות עבירת הרצח לאחר תיקון 137 – היסוד הנפשי:</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הצדדים מיקדו טיעוניהם ביחס לקשר הסיבתי וטענת הקנטור וכלל לא נדרשו לשאלת היסוד הנפשי לאחר תיקון 137. הואיל ושאלה זו נדמה כי לא הייתה במחלוקת, התייחסותנו לסוגיה זו תעשה בקצרה. </w:t>
      </w:r>
    </w:p>
    <w:p w:rsidR="00987F99" w:rsidRPr="00987F99" w:rsidRDefault="00987F99" w:rsidP="00987F99">
      <w:pPr>
        <w:spacing w:before="120" w:after="120" w:line="360" w:lineRule="auto"/>
        <w:rPr>
          <w:rFonts w:ascii="David" w:eastAsia="Calibri" w:hAnsi="David"/>
          <w:b/>
          <w:bCs/>
          <w:rtl/>
        </w:rPr>
      </w:pPr>
      <w:r w:rsidRPr="00987F99">
        <w:rPr>
          <w:rFonts w:ascii="David" w:eastAsia="Calibri" w:hAnsi="David"/>
          <w:rtl/>
        </w:rPr>
        <w:t xml:space="preserve">זוהי הוראת </w:t>
      </w:r>
      <w:r w:rsidRPr="00987F99">
        <w:rPr>
          <w:rFonts w:ascii="David" w:eastAsia="Calibri" w:hAnsi="David"/>
          <w:b/>
          <w:bCs/>
          <w:rtl/>
        </w:rPr>
        <w:t>סעיף 300(א) לחוק</w:t>
      </w:r>
      <w:r w:rsidRPr="00987F99">
        <w:rPr>
          <w:rFonts w:ascii="David" w:eastAsia="Calibri" w:hAnsi="David"/>
          <w:rtl/>
        </w:rPr>
        <w:t xml:space="preserve"> לאחר תיקון 137 שכותרתה "רצח" המיוחסת לנאשם: </w:t>
      </w:r>
    </w:p>
    <w:p w:rsidR="00987F99" w:rsidRPr="00987F99" w:rsidRDefault="00987F99" w:rsidP="00987F99">
      <w:pPr>
        <w:spacing w:before="120" w:after="120" w:line="360" w:lineRule="auto"/>
        <w:rPr>
          <w:rFonts w:ascii="David" w:eastAsia="Calibri" w:hAnsi="David"/>
          <w:b/>
          <w:bCs/>
          <w:rtl/>
        </w:rPr>
      </w:pPr>
      <w:r w:rsidRPr="00987F99">
        <w:rPr>
          <w:rFonts w:ascii="David" w:eastAsia="Calibri" w:hAnsi="David"/>
          <w:rtl/>
        </w:rPr>
        <w:t>"</w:t>
      </w:r>
      <w:r w:rsidRPr="00987F99">
        <w:rPr>
          <w:rFonts w:ascii="David" w:eastAsia="Calibri" w:hAnsi="David"/>
          <w:b/>
          <w:bCs/>
          <w:rtl/>
        </w:rPr>
        <w:t xml:space="preserve">(א)  הגורם </w:t>
      </w:r>
      <w:r w:rsidRPr="00987F99">
        <w:rPr>
          <w:rFonts w:ascii="David" w:eastAsia="Calibri" w:hAnsi="David"/>
          <w:b/>
          <w:bCs/>
          <w:u w:val="single"/>
          <w:rtl/>
        </w:rPr>
        <w:t>בכוונה או באדישות</w:t>
      </w:r>
      <w:r w:rsidRPr="00987F99">
        <w:rPr>
          <w:rFonts w:ascii="David" w:eastAsia="Calibri" w:hAnsi="David"/>
          <w:b/>
          <w:bCs/>
          <w:rtl/>
        </w:rPr>
        <w:t xml:space="preserve"> למותו של אדם, דינו – מאסר עולם</w:t>
      </w:r>
      <w:r w:rsidRPr="00987F99">
        <w:rPr>
          <w:rFonts w:ascii="David" w:eastAsia="Calibri" w:hAnsi="David"/>
          <w:rtl/>
        </w:rPr>
        <w:t>".</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בית המשפט המחוזי במסגרת תיק ניסיון הרצח, בחן את שאלת היסוד הנפשי הנלווה לעבירת ניסיון הרצח בהתאם להלכה שנקבעה בע"פ 1474/14 </w:t>
      </w:r>
      <w:r w:rsidRPr="00987F99">
        <w:rPr>
          <w:rFonts w:ascii="David" w:eastAsia="Calibri" w:hAnsi="David"/>
          <w:b/>
          <w:bCs/>
          <w:rtl/>
        </w:rPr>
        <w:t>פלוני נ' מדינת ישראל</w:t>
      </w:r>
      <w:r w:rsidRPr="00987F99">
        <w:rPr>
          <w:rFonts w:ascii="David" w:eastAsia="Calibri" w:hAnsi="David"/>
          <w:rtl/>
        </w:rPr>
        <w:t xml:space="preserve"> (פורסם בנבו, 15.12.15) (להלן "</w:t>
      </w:r>
      <w:r w:rsidRPr="00987F99">
        <w:rPr>
          <w:rFonts w:ascii="David" w:eastAsia="Calibri" w:hAnsi="David"/>
          <w:b/>
          <w:bCs/>
          <w:rtl/>
        </w:rPr>
        <w:t>הלכת פלוני</w:t>
      </w:r>
      <w:r w:rsidRPr="00987F99">
        <w:rPr>
          <w:rFonts w:ascii="David" w:eastAsia="Calibri" w:hAnsi="David"/>
          <w:rtl/>
        </w:rPr>
        <w:t xml:space="preserve">") (שביטלה את הלכת דרעי כאמור בע"פ 155/59). בהתאם להלכת פלוני, יש צורך להוכיח את היסוד הנפשי הנדרש לעבירה המוגמרת אותה ניסה הנאשם לבצע, היינו עבירת הרצח. יסוד זה היה של </w:t>
      </w:r>
      <w:r w:rsidRPr="00987F99">
        <w:rPr>
          <w:rFonts w:ascii="David" w:eastAsia="Calibri" w:hAnsi="David"/>
          <w:u w:val="single"/>
          <w:rtl/>
        </w:rPr>
        <w:t>כוונה תחילה</w:t>
      </w:r>
      <w:r w:rsidRPr="00987F99">
        <w:rPr>
          <w:rFonts w:ascii="David" w:eastAsia="Calibri" w:hAnsi="David"/>
          <w:rtl/>
        </w:rPr>
        <w:t xml:space="preserve"> אשר הורכבה משלושה רכיבים "החלטה להמית", "הכנה" ו"העדר קנטור". </w:t>
      </w:r>
    </w:p>
    <w:p w:rsidR="00987F99" w:rsidRPr="00987F99" w:rsidRDefault="00987F99" w:rsidP="00987F99">
      <w:pPr>
        <w:spacing w:before="120" w:after="120" w:line="360" w:lineRule="auto"/>
        <w:jc w:val="both"/>
        <w:rPr>
          <w:rFonts w:ascii="David" w:eastAsia="Calibri" w:hAnsi="David"/>
          <w:rtl/>
        </w:rPr>
      </w:pPr>
      <w:r w:rsidRPr="00987F99">
        <w:rPr>
          <w:rFonts w:ascii="David" w:eastAsia="Calibri" w:hAnsi="David"/>
          <w:rtl/>
        </w:rPr>
        <w:t xml:space="preserve">כיום, בעקבות תיקון 137, רכיב הקנטור הפך להיות חלק מיסודות "המתה בנסיבות של אחריות מופחתת" כאשר לעבירת ה"רצח בסיסי" כאמור בסעיף 300(א) לחוק, די בקיומו של יסוד נפשי בדמות "כוונה" או "אדישות". מתוך שהוכחה כוונה תחילה שנלוותה למעשיו של הנאשם, קל וחומר כי גם כיום הוכח יסוד נפשי של כוונה. הגם שהדברים ברורים מאליהם, נוסיף כי במישור השכלי רצוני אין חולק כי מי שיורה בראשו של אדם מטווח קרוב עם אקדח 9 מ"מ, צופה את התוצאה הקטלנית, ומתכוון לתוצאות הטבעיות הנובעות ממעשיו. באין כל ראיות לסתור, הוא מוחזק כמי שצפה את התוצאה ורצה בה (ר', בין היתר, ע"פ 228/01 </w:t>
      </w:r>
      <w:r w:rsidRPr="00987F99">
        <w:rPr>
          <w:rFonts w:ascii="David" w:eastAsia="Calibri" w:hAnsi="David"/>
          <w:b/>
          <w:bCs/>
          <w:rtl/>
        </w:rPr>
        <w:t>יעקב כלב נ' מדינת ישראל</w:t>
      </w:r>
      <w:r w:rsidRPr="00987F99">
        <w:rPr>
          <w:rFonts w:ascii="David" w:eastAsia="Calibri" w:hAnsi="David"/>
          <w:rtl/>
        </w:rPr>
        <w:t xml:space="preserve"> (פורסם בנבו, 2.7.03); ע"פ 357/95 </w:t>
      </w:r>
      <w:r w:rsidRPr="00987F99">
        <w:rPr>
          <w:rFonts w:ascii="David" w:eastAsia="Calibri" w:hAnsi="David"/>
          <w:b/>
          <w:bCs/>
          <w:rtl/>
        </w:rPr>
        <w:t>ויצמן נ' מדינת ישראל</w:t>
      </w:r>
      <w:r w:rsidRPr="00987F99">
        <w:rPr>
          <w:rFonts w:ascii="David" w:eastAsia="Calibri" w:hAnsi="David"/>
          <w:rtl/>
        </w:rPr>
        <w:t xml:space="preserve">, פ"ד נא(4) )577. </w:t>
      </w:r>
    </w:p>
    <w:p w:rsidR="00987F99" w:rsidRPr="00987F99" w:rsidRDefault="00987F99" w:rsidP="00987F99">
      <w:pPr>
        <w:spacing w:before="120" w:after="120" w:line="360" w:lineRule="auto"/>
        <w:jc w:val="both"/>
        <w:rPr>
          <w:rFonts w:ascii="David" w:eastAsia="Calibri" w:hAnsi="David"/>
          <w:b/>
          <w:bCs/>
          <w:u w:val="single"/>
          <w:rtl/>
        </w:rPr>
      </w:pPr>
      <w:r w:rsidRPr="00987F99">
        <w:rPr>
          <w:rFonts w:ascii="David" w:eastAsia="Calibri" w:hAnsi="David"/>
          <w:b/>
          <w:bCs/>
          <w:u w:val="single"/>
          <w:rtl/>
        </w:rPr>
        <w:t>סוף דבר:</w:t>
      </w:r>
    </w:p>
    <w:p w:rsidR="00870F64" w:rsidRPr="00987F99" w:rsidRDefault="00987F99" w:rsidP="00987F99">
      <w:pPr>
        <w:spacing w:before="120" w:after="120" w:line="360" w:lineRule="auto"/>
        <w:jc w:val="both"/>
        <w:rPr>
          <w:rFonts w:ascii="David" w:eastAsia="Calibri" w:hAnsi="David"/>
          <w:b/>
          <w:bCs/>
          <w:u w:val="single"/>
          <w:rtl/>
        </w:rPr>
      </w:pPr>
      <w:r w:rsidRPr="00987F99">
        <w:rPr>
          <w:rFonts w:ascii="David" w:eastAsia="Calibri" w:hAnsi="David"/>
          <w:rtl/>
        </w:rPr>
        <w:t xml:space="preserve">בהסתמך על הקביעות העובדתיות והמשפטיות של בית המשפט במסגרת תיק ניסיון הרצח, כאשר הוכח לפנינו קשר סיבתי בין הירייה שירה הנאשם בראשו של </w:t>
      </w:r>
      <w:r w:rsidR="00CC6733">
        <w:rPr>
          <w:rFonts w:ascii="David" w:eastAsia="Calibri" w:hAnsi="David"/>
          <w:rtl/>
        </w:rPr>
        <w:t>ת.מ</w:t>
      </w:r>
      <w:r w:rsidRPr="00987F99">
        <w:rPr>
          <w:rFonts w:ascii="David" w:eastAsia="Calibri" w:hAnsi="David"/>
          <w:rtl/>
        </w:rPr>
        <w:t xml:space="preserve"> לפטירתו בחלוף חמש שנים, ומתוך ששללנו קיומה של אחריות מופחתת, אנו מרשיעים את הנאשם ברצח, עבירה לפי סעיף 300(א) לחוק העונשין, התשל"ז-1977. </w:t>
      </w:r>
    </w:p>
    <w:p w:rsidR="00870F64" w:rsidRPr="00CC6733" w:rsidRDefault="0051562C" w:rsidP="00987F99">
      <w:pPr>
        <w:rPr>
          <w:rFonts w:ascii="Arial" w:hAnsi="Arial"/>
          <w:b/>
          <w:bCs/>
          <w:rtl/>
        </w:rPr>
      </w:pPr>
      <w:r w:rsidRPr="00CC6733">
        <w:rPr>
          <w:rFonts w:ascii="Arial" w:hAnsi="Arial"/>
          <w:b/>
          <w:bCs/>
          <w:rtl/>
        </w:rPr>
        <w:t xml:space="preserve">ניתנה </w:t>
      </w:r>
      <w:r w:rsidR="0020644E" w:rsidRPr="00CC6733">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ז' טבת תשפ"ד</w:t>
          </w:r>
        </w:sdtContent>
      </w:sdt>
      <w:r w:rsidRPr="00CC6733">
        <w:rPr>
          <w:rFonts w:ascii="Arial" w:hAnsi="Arial"/>
          <w:b/>
          <w:bCs/>
          <w:rtl/>
        </w:rPr>
        <w:t xml:space="preserve">, </w:t>
      </w:r>
      <w:sdt>
        <w:sdtPr>
          <w:rPr>
            <w:b/>
            <w:bCs/>
            <w:rtl/>
          </w:rPr>
          <w:alias w:val="1456"/>
          <w:tag w:val="1456"/>
          <w:id w:val="1681311558"/>
          <w:text w:multiLine="1"/>
        </w:sdtPr>
        <w:sdtEndPr/>
        <w:sdtContent>
          <w:r>
            <w:rPr>
              <w:rFonts w:ascii="Arial" w:hAnsi="Arial" w:hint="cs"/>
              <w:b/>
              <w:bCs/>
              <w:rtl/>
            </w:rPr>
            <w:t>19 דצמבר 2023</w:t>
          </w:r>
        </w:sdtContent>
      </w:sdt>
      <w:r w:rsidRPr="00CC6733">
        <w:rPr>
          <w:rFonts w:ascii="Arial" w:hAnsi="Arial"/>
          <w:b/>
          <w:bCs/>
          <w:rtl/>
        </w:rPr>
        <w:t>, במעמד הצדדים</w:t>
      </w:r>
    </w:p>
    <w:p w:rsidR="00AE60C8" w:rsidRDefault="00AE60C8" w:rsidP="00AE60C8">
      <w:pPr>
        <w:tabs>
          <w:tab w:val="left" w:pos="1625"/>
        </w:tabs>
        <w:jc w:val="center"/>
        <w:rPr>
          <w:rtl/>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987F99" w:rsidTr="00987F99">
        <w:tc>
          <w:tcPr>
            <w:tcW w:w="2891" w:type="dxa"/>
            <w:vAlign w:val="center"/>
            <w:hideMark/>
          </w:tcPr>
          <w:p w:rsidR="00987F99" w:rsidRDefault="00987F99" w:rsidP="00CC6733">
            <w:pPr>
              <w:jc w:val="center"/>
              <w:rPr>
                <w:rFonts w:ascii="Times New Roman" w:hAnsi="Times New Roman" w:cs="Times New Roman"/>
                <w:rtl/>
              </w:rPr>
            </w:pPr>
            <w:r>
              <w:rPr>
                <w:noProof/>
              </w:rPr>
              <w:drawing>
                <wp:inline distT="0" distB="0" distL="0" distR="0">
                  <wp:extent cx="1028700" cy="42862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8700" cy="428625"/>
                          </a:xfrm>
                          <a:prstGeom prst="rect">
                            <a:avLst/>
                          </a:prstGeom>
                          <a:noFill/>
                          <a:ln>
                            <a:noFill/>
                          </a:ln>
                        </pic:spPr>
                      </pic:pic>
                    </a:graphicData>
                  </a:graphic>
                </wp:inline>
              </w:drawing>
            </w:r>
          </w:p>
        </w:tc>
        <w:tc>
          <w:tcPr>
            <w:tcW w:w="2891" w:type="dxa"/>
            <w:vAlign w:val="center"/>
            <w:hideMark/>
          </w:tcPr>
          <w:p w:rsidR="00987F99" w:rsidRDefault="00CC6733" w:rsidP="004D671B">
            <w:pPr>
              <w:jc w:val="right"/>
            </w:pPr>
            <w:r>
              <w:t xml:space="preserve">           </w:t>
            </w:r>
            <w:r w:rsidR="00987F99">
              <w:rPr>
                <w:noProof/>
              </w:rPr>
              <w:drawing>
                <wp:inline distT="0" distB="0" distL="0" distR="0">
                  <wp:extent cx="733425" cy="4762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476250"/>
                          </a:xfrm>
                          <a:prstGeom prst="rect">
                            <a:avLst/>
                          </a:prstGeom>
                          <a:noFill/>
                          <a:ln>
                            <a:noFill/>
                          </a:ln>
                        </pic:spPr>
                      </pic:pic>
                    </a:graphicData>
                  </a:graphic>
                </wp:inline>
              </w:drawing>
            </w:r>
          </w:p>
        </w:tc>
        <w:tc>
          <w:tcPr>
            <w:tcW w:w="2891" w:type="dxa"/>
            <w:vAlign w:val="center"/>
            <w:hideMark/>
          </w:tcPr>
          <w:p w:rsidR="00987F99" w:rsidRDefault="00CC6733" w:rsidP="004D671B">
            <w:pPr>
              <w:jc w:val="right"/>
            </w:pPr>
            <w:r>
              <w:t xml:space="preserve">     </w:t>
            </w:r>
            <w:r w:rsidR="00987F99">
              <w:rPr>
                <w:noProof/>
              </w:rPr>
              <w:drawing>
                <wp:inline distT="0" distB="0" distL="0" distR="0">
                  <wp:extent cx="1343025" cy="6858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685800"/>
                          </a:xfrm>
                          <a:prstGeom prst="rect">
                            <a:avLst/>
                          </a:prstGeom>
                          <a:noFill/>
                          <a:ln>
                            <a:noFill/>
                          </a:ln>
                        </pic:spPr>
                      </pic:pic>
                    </a:graphicData>
                  </a:graphic>
                </wp:inline>
              </w:drawing>
            </w:r>
          </w:p>
        </w:tc>
      </w:tr>
      <w:tr w:rsidR="00987F99" w:rsidTr="00987F99">
        <w:tc>
          <w:tcPr>
            <w:tcW w:w="2891" w:type="dxa"/>
            <w:vAlign w:val="center"/>
            <w:hideMark/>
          </w:tcPr>
          <w:p w:rsidR="00987F99" w:rsidRDefault="009154FF" w:rsidP="004D671B">
            <w:pPr>
              <w:spacing w:line="360" w:lineRule="auto"/>
              <w:jc w:val="center"/>
              <w:rPr>
                <w:rFonts w:ascii="David" w:hAnsi="David"/>
                <w:b/>
                <w:bCs/>
              </w:rPr>
            </w:pPr>
            <w:sdt>
              <w:sdtPr>
                <w:rPr>
                  <w:b/>
                  <w:bCs/>
                  <w:rtl/>
                </w:rPr>
                <w:alias w:val="2235"/>
                <w:tag w:val="2235"/>
                <w:id w:val="1100069598"/>
              </w:sdtPr>
              <w:sdtEndPr/>
              <w:sdtContent>
                <w:r w:rsidR="00987F99">
                  <w:rPr>
                    <w:rFonts w:ascii="David" w:hAnsi="David"/>
                    <w:b/>
                    <w:bCs/>
                    <w:rtl/>
                  </w:rPr>
                  <w:t>דניאל</w:t>
                </w:r>
              </w:sdtContent>
            </w:sdt>
            <w:r w:rsidR="00987F99">
              <w:rPr>
                <w:rFonts w:hint="cs"/>
                <w:b/>
                <w:bCs/>
                <w:rtl/>
              </w:rPr>
              <w:t xml:space="preserve">  </w:t>
            </w:r>
            <w:sdt>
              <w:sdtPr>
                <w:rPr>
                  <w:rFonts w:ascii="Times New Roman" w:hAnsi="Times New Roman" w:cs="Times New Roman"/>
                  <w:b/>
                  <w:bCs/>
                  <w:rtl/>
                </w:rPr>
                <w:alias w:val="2240"/>
                <w:tag w:val="2240"/>
                <w:id w:val="825638415"/>
              </w:sdtPr>
              <w:sdtEndPr/>
              <w:sdtContent>
                <w:r w:rsidR="00987F99">
                  <w:rPr>
                    <w:b/>
                    <w:bCs/>
                    <w:rtl/>
                  </w:rPr>
                  <w:t>בן טולילה</w:t>
                </w:r>
              </w:sdtContent>
            </w:sdt>
            <w:r w:rsidR="00987F99">
              <w:rPr>
                <w:rFonts w:hint="cs"/>
                <w:b/>
                <w:bCs/>
                <w:rtl/>
              </w:rPr>
              <w:t xml:space="preserve">, </w:t>
            </w:r>
            <w:sdt>
              <w:sdtPr>
                <w:rPr>
                  <w:rFonts w:ascii="Times New Roman" w:hAnsi="Times New Roman" w:cs="Times New Roman"/>
                  <w:b/>
                  <w:bCs/>
                  <w:rtl/>
                </w:rPr>
                <w:alias w:val="2245"/>
                <w:tag w:val="2245"/>
                <w:id w:val="533847746"/>
              </w:sdtPr>
              <w:sdtEndPr/>
              <w:sdtContent>
                <w:r w:rsidR="00987F99">
                  <w:rPr>
                    <w:b/>
                    <w:bCs/>
                    <w:rtl/>
                  </w:rPr>
                  <w:t>שופט</w:t>
                </w:r>
              </w:sdtContent>
            </w:sdt>
          </w:p>
        </w:tc>
        <w:tc>
          <w:tcPr>
            <w:tcW w:w="2891" w:type="dxa"/>
            <w:vAlign w:val="center"/>
            <w:hideMark/>
          </w:tcPr>
          <w:p w:rsidR="00987F99" w:rsidRDefault="009154FF" w:rsidP="004D671B">
            <w:pPr>
              <w:spacing w:line="360" w:lineRule="auto"/>
              <w:jc w:val="center"/>
              <w:rPr>
                <w:rFonts w:ascii="David" w:hAnsi="David"/>
                <w:b/>
                <w:bCs/>
                <w:rtl/>
              </w:rPr>
            </w:pPr>
            <w:sdt>
              <w:sdtPr>
                <w:rPr>
                  <w:b/>
                  <w:bCs/>
                  <w:rtl/>
                </w:rPr>
                <w:alias w:val="2236"/>
                <w:tag w:val="2236"/>
                <w:id w:val="639300144"/>
              </w:sdtPr>
              <w:sdtEndPr/>
              <w:sdtContent>
                <w:r w:rsidR="00987F99">
                  <w:rPr>
                    <w:rFonts w:ascii="David" w:hAnsi="David"/>
                    <w:b/>
                    <w:bCs/>
                    <w:rtl/>
                  </w:rPr>
                  <w:t>טל</w:t>
                </w:r>
              </w:sdtContent>
            </w:sdt>
            <w:r w:rsidR="00987F99">
              <w:rPr>
                <w:rFonts w:hint="cs"/>
                <w:b/>
                <w:bCs/>
                <w:rtl/>
              </w:rPr>
              <w:t xml:space="preserve"> </w:t>
            </w:r>
            <w:sdt>
              <w:sdtPr>
                <w:rPr>
                  <w:rFonts w:ascii="Times New Roman" w:hAnsi="Times New Roman" w:cs="Times New Roman"/>
                  <w:b/>
                  <w:bCs/>
                  <w:rtl/>
                </w:rPr>
                <w:alias w:val="2241"/>
                <w:tag w:val="2241"/>
                <w:id w:val="-2097088705"/>
              </w:sdtPr>
              <w:sdtEndPr/>
              <w:sdtContent>
                <w:r w:rsidR="00987F99">
                  <w:rPr>
                    <w:b/>
                    <w:bCs/>
                    <w:rtl/>
                  </w:rPr>
                  <w:t>לחיאני שהם</w:t>
                </w:r>
              </w:sdtContent>
            </w:sdt>
            <w:r w:rsidR="00987F99">
              <w:rPr>
                <w:rFonts w:hint="cs"/>
                <w:b/>
                <w:bCs/>
                <w:rtl/>
              </w:rPr>
              <w:t xml:space="preserve">, </w:t>
            </w:r>
            <w:sdt>
              <w:sdtPr>
                <w:rPr>
                  <w:rFonts w:ascii="Times New Roman" w:hAnsi="Times New Roman" w:cs="Times New Roman"/>
                  <w:b/>
                  <w:bCs/>
                  <w:rtl/>
                </w:rPr>
                <w:alias w:val="2246"/>
                <w:tag w:val="2246"/>
                <w:id w:val="-1989393221"/>
              </w:sdtPr>
              <w:sdtEndPr/>
              <w:sdtContent>
                <w:r w:rsidR="00987F99">
                  <w:rPr>
                    <w:b/>
                    <w:bCs/>
                    <w:rtl/>
                  </w:rPr>
                  <w:t>שופטת</w:t>
                </w:r>
              </w:sdtContent>
            </w:sdt>
          </w:p>
        </w:tc>
        <w:tc>
          <w:tcPr>
            <w:tcW w:w="2891" w:type="dxa"/>
            <w:vAlign w:val="center"/>
            <w:hideMark/>
          </w:tcPr>
          <w:p w:rsidR="00987F99" w:rsidRDefault="009154FF" w:rsidP="004D671B">
            <w:pPr>
              <w:spacing w:line="360" w:lineRule="auto"/>
              <w:jc w:val="center"/>
              <w:rPr>
                <w:rFonts w:ascii="David" w:hAnsi="David"/>
                <w:b/>
                <w:bCs/>
                <w:rtl/>
              </w:rPr>
            </w:pPr>
            <w:sdt>
              <w:sdtPr>
                <w:rPr>
                  <w:b/>
                  <w:bCs/>
                  <w:rtl/>
                </w:rPr>
                <w:alias w:val="2237"/>
                <w:tag w:val="2237"/>
                <w:id w:val="-31890643"/>
              </w:sdtPr>
              <w:sdtEndPr/>
              <w:sdtContent>
                <w:r w:rsidR="00987F99">
                  <w:rPr>
                    <w:rFonts w:ascii="David" w:hAnsi="David"/>
                    <w:b/>
                    <w:bCs/>
                    <w:rtl/>
                  </w:rPr>
                  <w:t>יואב</w:t>
                </w:r>
              </w:sdtContent>
            </w:sdt>
            <w:r w:rsidR="00987F99">
              <w:rPr>
                <w:rFonts w:hint="cs"/>
                <w:b/>
                <w:bCs/>
                <w:rtl/>
              </w:rPr>
              <w:t xml:space="preserve"> </w:t>
            </w:r>
            <w:sdt>
              <w:sdtPr>
                <w:rPr>
                  <w:rFonts w:ascii="Times New Roman" w:hAnsi="Times New Roman" w:cs="Times New Roman"/>
                  <w:b/>
                  <w:bCs/>
                  <w:rtl/>
                </w:rPr>
                <w:alias w:val="2242"/>
                <w:tag w:val="2242"/>
                <w:id w:val="358854881"/>
              </w:sdtPr>
              <w:sdtEndPr/>
              <w:sdtContent>
                <w:r w:rsidR="00987F99">
                  <w:rPr>
                    <w:b/>
                    <w:bCs/>
                    <w:rtl/>
                  </w:rPr>
                  <w:t>עטר</w:t>
                </w:r>
              </w:sdtContent>
            </w:sdt>
            <w:r w:rsidR="00987F99">
              <w:rPr>
                <w:rFonts w:hint="cs"/>
                <w:b/>
                <w:bCs/>
                <w:rtl/>
              </w:rPr>
              <w:t xml:space="preserve">, </w:t>
            </w:r>
            <w:sdt>
              <w:sdtPr>
                <w:rPr>
                  <w:rFonts w:ascii="Times New Roman" w:hAnsi="Times New Roman" w:cs="Times New Roman"/>
                  <w:b/>
                  <w:bCs/>
                  <w:rtl/>
                </w:rPr>
                <w:alias w:val="2247"/>
                <w:tag w:val="2247"/>
                <w:id w:val="243227774"/>
              </w:sdtPr>
              <w:sdtEndPr/>
              <w:sdtContent>
                <w:r w:rsidR="00987F99">
                  <w:rPr>
                    <w:b/>
                    <w:bCs/>
                    <w:rtl/>
                  </w:rPr>
                  <w:t>שופט</w:t>
                </w:r>
              </w:sdtContent>
            </w:sdt>
          </w:p>
        </w:tc>
      </w:tr>
    </w:tbl>
    <w:p w:rsidR="00A5454F" w:rsidRDefault="00A5454F" w:rsidP="00CC6733">
      <w:pPr>
        <w:tabs>
          <w:tab w:val="left" w:pos="1625"/>
        </w:tabs>
        <w:rPr>
          <w:rtl/>
        </w:rPr>
      </w:pPr>
    </w:p>
    <w:sectPr w:rsidR="00A5454F" w:rsidSect="00870F64">
      <w:headerReference w:type="default" r:id="rId14"/>
      <w:footerReference w:type="defaul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4FF" w:rsidRDefault="009154FF">
      <w:r>
        <w:separator/>
      </w:r>
    </w:p>
  </w:endnote>
  <w:endnote w:type="continuationSeparator" w:id="0">
    <w:p w:rsidR="009154FF" w:rsidRDefault="0091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7C4075">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7C4075">
      <w:rPr>
        <w:noProof/>
        <w:rtl/>
      </w:rP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4FF" w:rsidRDefault="009154FF">
      <w:r>
        <w:separator/>
      </w:r>
    </w:p>
  </w:footnote>
  <w:footnote w:type="continuationSeparator" w:id="0">
    <w:p w:rsidR="009154FF" w:rsidRDefault="0091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9154FF">
          <w:pPr>
            <w:rPr>
              <w:rFonts w:cs="FrankRuehl"/>
              <w:sz w:val="28"/>
              <w:szCs w:val="28"/>
              <w:rtl/>
            </w:rPr>
          </w:pPr>
          <w:sdt>
            <w:sdtPr>
              <w:rPr>
                <w:rtl/>
              </w:rPr>
              <w:alias w:val="1170"/>
              <w:tag w:val="1170"/>
              <w:id w:val="873580151"/>
              <w:text w:multiLine="1"/>
            </w:sdtPr>
            <w:sdtEndPr/>
            <w:sdtContent>
              <w:r w:rsidR="00843239">
                <w:rPr>
                  <w:rFonts w:cs="FrankRuehl"/>
                  <w:sz w:val="28"/>
                  <w:szCs w:val="28"/>
                  <w:rtl/>
                </w:rPr>
                <w:t>תפ"ח</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31636-02-21</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מסעד(עציר)</w:t>
              </w:r>
            </w:sdtContent>
          </w:sdt>
        </w:p>
        <w:p w:rsidR="00870F64" w:rsidRDefault="00870F64">
          <w:pPr>
            <w:pStyle w:val="a3"/>
            <w:rPr>
              <w:rtl/>
            </w:rPr>
          </w:pPr>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D16"/>
    <w:multiLevelType w:val="hybridMultilevel"/>
    <w:tmpl w:val="39E09E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2024FA4"/>
    <w:multiLevelType w:val="hybridMultilevel"/>
    <w:tmpl w:val="ADC601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360D55"/>
    <w:multiLevelType w:val="hybridMultilevel"/>
    <w:tmpl w:val="70724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3C47565"/>
    <w:multiLevelType w:val="hybridMultilevel"/>
    <w:tmpl w:val="6B14604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E3D4D25"/>
    <w:multiLevelType w:val="hybridMultilevel"/>
    <w:tmpl w:val="9AB6DA5C"/>
    <w:lvl w:ilvl="0" w:tplc="93A22158">
      <w:start w:val="2"/>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7"/>
  </w:num>
  <w:num w:numId="2">
    <w:abstractNumId w:val="3"/>
  </w:num>
  <w:num w:numId="3">
    <w:abstractNumId w:val="4"/>
  </w:num>
  <w:num w:numId="4">
    <w:abstractNumId w:val="2"/>
  </w:num>
  <w:num w:numId="5">
    <w:abstractNumId w:val="6"/>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129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12931&amp;lt;/CaseID&amp;gt;_x000d__x000a_        &amp;lt;CaseMonth&amp;gt;2&amp;lt;/CaseMonth&amp;gt;_x000d__x000a_        &amp;lt;CaseYear&amp;gt;2021&amp;lt;/CaseYear&amp;gt;_x000d__x000a_        &amp;lt;CaseNumber&amp;gt;31636&amp;lt;/CaseNumber&amp;gt;_x000d__x000a_        &amp;lt;NumeratorGroupID&amp;gt;1&amp;lt;/NumeratorGroupID&amp;gt;_x000d__x000a_        &amp;lt;CaseName&amp;gt;מדינת ישראל נ&amp;#39; מסעד(עציר)&amp;lt;/CaseName&amp;gt;_x000d__x000a_        &amp;lt;CourtID&amp;gt;16&amp;lt;/CourtID&amp;gt;_x000d__x000a_        &amp;lt;CaseTypeID&amp;gt;10077&amp;lt;/CaseTypeID&amp;gt;_x000d__x000a_        &amp;lt;CaseJudgeName&amp;gt;דניאל בן טולילה&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1636-02-21&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02-15T12:17: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דניאל&amp;lt;/CaseJudgeFirstName&amp;gt;_x000d__x000a_        &amp;lt;CaseJudgeLastName&amp;gt;בן טולילה&amp;lt;/CaseJudgeLastName&amp;gt;_x000d__x000a_        &amp;lt;JudicalPersonID&amp;gt;02952297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6.12.23 הודעה לצדדים_x000d__x000a_למירב מפמ&amp;quot;ד - טלפונית_x000d__x000a_לאוריה פרץ מכלא אשל - טלפונית _x000d__x000a_הסנגורית ימימה אברמוביץ צפה בהחלטה בנט בשעה 20:00 (לא ענתה לטלפון)_x000d__x000a_היומן עודכן וזימון נשלח לשבס&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12931&amp;lt;/CaseID&amp;gt;_x000d__x000a_        &amp;lt;CaseMonth&amp;gt;2&amp;lt;/CaseMonth&amp;gt;_x000d__x000a_        &amp;lt;CaseYear&amp;gt;2021&amp;lt;/CaseYear&amp;gt;_x000d__x000a_        &amp;lt;CaseNumber&amp;gt;31636&amp;lt;/CaseNumber&amp;gt;_x000d__x000a_        &amp;lt;NumeratorGroupID&amp;gt;1&amp;lt;/NumeratorGroupID&amp;gt;_x000d__x000a_        &amp;lt;CaseName&amp;gt;מדינת ישראל נ&amp;#39; מסעד(עציר)&amp;lt;/CaseName&amp;gt;_x000d__x000a_        &amp;lt;CourtID&amp;gt;16&amp;lt;/CourtID&amp;gt;_x000d__x000a_        &amp;lt;CaseTypeID&amp;gt;10077&amp;lt;/CaseTypeID&amp;gt;_x000d__x000a_        &amp;lt;CaseJudgeName&amp;gt;דניאל בן טולילה&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1636-02-21&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258&amp;lt;/CaseNextDeterminingTask&amp;gt;_x000d__x000a_        &amp;lt;CaseOpenDate&amp;gt;2021-02-15T12:17: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דניאל&amp;lt;/CaseJudgeFirstName&amp;gt;_x000d__x000a_        &amp;lt;CaseJudgeLastName&amp;gt;בן טולילה&amp;lt;/CaseJudgeLastName&amp;gt;_x000d__x000a_        &amp;lt;JudicalPersonID&amp;gt;02952297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6.12.23 הודעה לצדדים_x000d__x000a_למירב מפמ&amp;quot;ד - טלפונית_x000d__x000a_לאוריה פרץ מכלא אשל - טלפונית _x000d__x000a_הסנגורית ימימה אברמוביץ צפה בהחלטה בנט בשעה 20:00 (לא ענתה לטלפון)_x000d__x000a_היומן עודכן וזימון נשלח לשבס&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653512&amp;lt;/DecisionID&amp;gt;_x000d__x000a_        &amp;lt;DecisionName&amp;gt;הכרעת דין  שניתנה ע&amp;quot;י  דניאל בן טולילה&amp;lt;/DecisionName&amp;gt;_x000d__x000a_        &amp;lt;DecisionStatusID&amp;gt;1&amp;lt;/DecisionStatusID&amp;gt;_x000d__x000a_        &amp;lt;DecisionStatusChangeDate&amp;gt;2023-12-18T13:20:04.057+02:00&amp;lt;/DecisionStatusChangeDate&amp;gt;_x000d__x000a_        &amp;lt;DecisionSignatureDate&amp;gt;2023-12-18T13:01:04.83+02:00&amp;lt;/DecisionSignatureDate&amp;gt;_x000d__x000a_        &amp;lt;DecisionSignatureUserID&amp;gt;029522976@GOV.IL&amp;lt;/DecisionSignatureUserID&amp;gt;_x000d__x000a_        &amp;lt;DecisionCreateDate&amp;gt;2023-12-18T13:06:55.84+02:00&amp;lt;/DecisionCreateDate&amp;gt;_x000d__x000a_        &amp;lt;DecisionChangeDate&amp;gt;2023-12-18T13:20:04.62+02:00&amp;lt;/DecisionChangeDate&amp;gt;_x000d__x000a_        &amp;lt;DecisionChangeUserID&amp;gt;3027865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882120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52297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2786546@GOV.IL&amp;lt;/DecisionCreationUserID&amp;gt;_x000d__x000a_        &amp;lt;DecisionDisplayName&amp;gt;הכרעת דין  שניתנה ע&amp;quot;י  דניאל בן טולילה&amp;lt;/DecisionDisplayName&amp;gt;_x000d__x000a_        &amp;lt;IsScanned&amp;gt;false&amp;lt;/IsScanned&amp;gt;_x000d__x000a_        &amp;lt;DecisionSignatureUserName&amp;gt;דניאל בן טול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653512&amp;lt;/DecisionID&amp;gt;_x000d__x000a_        &amp;lt;CaseID&amp;gt;78112931&amp;lt;/CaseID&amp;gt;_x000d__x000a_        &amp;lt;IsOriginal&amp;gt;true&amp;lt;/IsOriginal&amp;gt;_x000d__x000a_        &amp;lt;IsDeleted&amp;gt;false&amp;lt;/IsDeleted&amp;gt;_x000d__x000a_        &amp;lt;CaseName&amp;gt;מדינת ישראל נ&amp;#39; מסעד(עציר)&amp;lt;/CaseName&amp;gt;_x000d__x000a_        &amp;lt;CaseDisplayIdentifier&amp;gt;31636-02-21 תפ&amp;quot;ח&amp;lt;/CaseDisplayIdentifier&amp;gt;_x000d__x000a_      &amp;lt;/dt_DecisionCase&amp;gt;_x000d__x000a_      &amp;lt;dt_DecisionJudgePanel diffgr:id=&amp;quot;dt_DecisionJudgePanel1&amp;quot; msdata:rowOrder=&amp;quot;0&amp;quot;&amp;gt;_x000d__x000a_        &amp;lt;DecisionID&amp;gt;148653512&amp;lt;/DecisionID&amp;gt;_x000d__x000a_        &amp;lt;JudgeID&amp;gt;02952297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653512&amp;lt;/DecisionID&amp;gt;_x000d__x000a_        &amp;lt;JudgeID&amp;gt;03207698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653512&amp;lt;/DecisionID&amp;gt;_x000d__x000a_        &amp;lt;JudgeID&amp;gt;028781599@GOV.IL&amp;lt;/JudgeID&amp;gt;_x000d__x000a_        &amp;lt;OrdinalNumber&amp;gt;3&amp;lt;/OrdinalNumber&amp;gt;_x000d__x000a_      &amp;lt;/dt_DecisionJudgePanel&amp;gt;_x000d__x000a_    &amp;lt;/DecisionDS&amp;gt;_x000d__x000a_  &amp;lt;/diffgr:diffgram&amp;gt;_x000d__x000a_&amp;lt;/DecisionDS&amp;gt;"/>
    <w:docVar w:name="DecisionID" w:val="148653512"/>
    <w:docVar w:name="docID" w:val="428821203"/>
    <w:docVar w:name="judgeUPN" w:val="029522976@GOV.IL"/>
    <w:docVar w:name="NGCS.TemplateCaseInterestID" w:val="-1"/>
    <w:docVar w:name="NGCS.TemplateCaseTypeID" w:val="10077"/>
    <w:docVar w:name="NGCS.TemplateCourtID" w:val="16"/>
    <w:docVar w:name="NGCS.TemplateProceedingID" w:val="2"/>
    <w:docVar w:name="noteDocID" w:val="428821203"/>
    <w:docVar w:name="WordClientAssemblyName" w:val="NGCS.Decision.ClientWordBL"/>
    <w:docVar w:name="WordClientClassName" w:val="NGCS.Decision.ClientWordBL.JudgePanelSignDecisionClient"/>
  </w:docVars>
  <w:rsids>
    <w:rsidRoot w:val="00870F64"/>
    <w:rsid w:val="00097BFF"/>
    <w:rsid w:val="000D676C"/>
    <w:rsid w:val="000E5776"/>
    <w:rsid w:val="00123C93"/>
    <w:rsid w:val="0016006A"/>
    <w:rsid w:val="00186BCB"/>
    <w:rsid w:val="002039F6"/>
    <w:rsid w:val="0020644E"/>
    <w:rsid w:val="002D68F5"/>
    <w:rsid w:val="00305BA5"/>
    <w:rsid w:val="00334A35"/>
    <w:rsid w:val="00337463"/>
    <w:rsid w:val="003A027F"/>
    <w:rsid w:val="003C74D6"/>
    <w:rsid w:val="0040433A"/>
    <w:rsid w:val="004334DF"/>
    <w:rsid w:val="00456A55"/>
    <w:rsid w:val="00487B70"/>
    <w:rsid w:val="004F2B64"/>
    <w:rsid w:val="0051562C"/>
    <w:rsid w:val="0052227C"/>
    <w:rsid w:val="00587C90"/>
    <w:rsid w:val="005C3A98"/>
    <w:rsid w:val="0064690D"/>
    <w:rsid w:val="006958A7"/>
    <w:rsid w:val="006F0E62"/>
    <w:rsid w:val="006F6206"/>
    <w:rsid w:val="007B34BE"/>
    <w:rsid w:val="007C4075"/>
    <w:rsid w:val="007C40F8"/>
    <w:rsid w:val="007C5B6C"/>
    <w:rsid w:val="007C78FD"/>
    <w:rsid w:val="007C7991"/>
    <w:rsid w:val="007F2E63"/>
    <w:rsid w:val="00810372"/>
    <w:rsid w:val="00834D17"/>
    <w:rsid w:val="00843239"/>
    <w:rsid w:val="00870F64"/>
    <w:rsid w:val="008D35B7"/>
    <w:rsid w:val="008D38B7"/>
    <w:rsid w:val="008E5FF0"/>
    <w:rsid w:val="00906D9D"/>
    <w:rsid w:val="009074A1"/>
    <w:rsid w:val="009154FF"/>
    <w:rsid w:val="009251A2"/>
    <w:rsid w:val="00942F8C"/>
    <w:rsid w:val="0095140D"/>
    <w:rsid w:val="00987F99"/>
    <w:rsid w:val="00A27B94"/>
    <w:rsid w:val="00A41D2A"/>
    <w:rsid w:val="00A5454F"/>
    <w:rsid w:val="00AE60C8"/>
    <w:rsid w:val="00B20868"/>
    <w:rsid w:val="00B949CB"/>
    <w:rsid w:val="00BF0FEA"/>
    <w:rsid w:val="00C12D2C"/>
    <w:rsid w:val="00C842D3"/>
    <w:rsid w:val="00C863A8"/>
    <w:rsid w:val="00CC3C76"/>
    <w:rsid w:val="00CC6733"/>
    <w:rsid w:val="00D63841"/>
    <w:rsid w:val="00DC081D"/>
    <w:rsid w:val="00E20138"/>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Title"/>
    <w:basedOn w:val="a"/>
    <w:link w:val="ab"/>
    <w:qFormat/>
    <w:rsid w:val="007C78FD"/>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character" w:customStyle="1" w:styleId="ab">
    <w:name w:val="כותרת טקסט תו"/>
    <w:basedOn w:val="a0"/>
    <w:link w:val="aa"/>
    <w:rsid w:val="007C78FD"/>
    <w:rPr>
      <w:b/>
      <w:bCs/>
      <w:szCs w:val="28"/>
      <w:u w:val="single"/>
      <w:shd w:val="pct20" w:color="auto" w:fill="FFFFFF"/>
      <w:lang w:eastAsia="he-IL"/>
    </w:rPr>
  </w:style>
  <w:style w:type="character" w:customStyle="1" w:styleId="TimesNewRomanTimesNewRoman">
    <w:name w:val="סגנון (לטיני) Times New Roman (עברית ושפות אחרות) Times New Roman..."/>
    <w:basedOn w:val="a0"/>
    <w:rsid w:val="007C78FD"/>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4767484">
      <w:bodyDiv w:val="1"/>
      <w:marLeft w:val="0"/>
      <w:marRight w:val="0"/>
      <w:marTop w:val="0"/>
      <w:marBottom w:val="0"/>
      <w:divBdr>
        <w:top w:val="none" w:sz="0" w:space="0" w:color="auto"/>
        <w:left w:val="none" w:sz="0" w:space="0" w:color="auto"/>
        <w:bottom w:val="none" w:sz="0" w:space="0" w:color="auto"/>
        <w:right w:val="none" w:sz="0" w:space="0" w:color="auto"/>
      </w:divBdr>
    </w:div>
    <w:div w:id="184445708">
      <w:bodyDiv w:val="1"/>
      <w:marLeft w:val="0"/>
      <w:marRight w:val="0"/>
      <w:marTop w:val="0"/>
      <w:marBottom w:val="0"/>
      <w:divBdr>
        <w:top w:val="none" w:sz="0" w:space="0" w:color="auto"/>
        <w:left w:val="none" w:sz="0" w:space="0" w:color="auto"/>
        <w:bottom w:val="none" w:sz="0" w:space="0" w:color="auto"/>
        <w:right w:val="none" w:sz="0" w:space="0" w:color="auto"/>
      </w:divBdr>
    </w:div>
    <w:div w:id="1014843993">
      <w:bodyDiv w:val="1"/>
      <w:marLeft w:val="0"/>
      <w:marRight w:val="0"/>
      <w:marTop w:val="0"/>
      <w:marBottom w:val="0"/>
      <w:divBdr>
        <w:top w:val="none" w:sz="0" w:space="0" w:color="auto"/>
        <w:left w:val="none" w:sz="0" w:space="0" w:color="auto"/>
        <w:bottom w:val="none" w:sz="0" w:space="0" w:color="auto"/>
        <w:right w:val="none" w:sz="0" w:space="0" w:color="auto"/>
      </w:divBdr>
    </w:div>
    <w:div w:id="1090272452">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7785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25441697" TargetMode="External"/><Relationship Id="rId4" Type="http://schemas.openxmlformats.org/officeDocument/2006/relationships/styles" Target="styles.xml"/><Relationship Id="rId9" Type="http://schemas.openxmlformats.org/officeDocument/2006/relationships/hyperlink" Target="http://www.nevo.co.il/case/2511025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47083FA95984873A5D85E58CEB98D61"/>
        <w:category>
          <w:name w:val="כללי"/>
          <w:gallery w:val="placeholder"/>
        </w:category>
        <w:types>
          <w:type w:val="bbPlcHdr"/>
        </w:types>
        <w:behaviors>
          <w:behavior w:val="content"/>
        </w:behaviors>
        <w:guid w:val="{691EC2E5-03DB-4D71-8340-9030A075315A}"/>
      </w:docPartPr>
      <w:docPartBody>
        <w:p w:rsidR="00345F57" w:rsidRDefault="006B4309" w:rsidP="006B4309">
          <w:pPr>
            <w:pStyle w:val="547083FA95984873A5D85E58CEB98D61"/>
          </w:pPr>
          <w:r>
            <w:rPr>
              <w:b/>
              <w:bCs/>
              <w:sz w:val="26"/>
              <w:szCs w:val="26"/>
              <w:rtl/>
            </w:rPr>
            <w:t>תאור קבוצת שיכות צד א'</w:t>
          </w:r>
        </w:p>
      </w:docPartBody>
    </w:docPart>
    <w:docPart>
      <w:docPartPr>
        <w:name w:val="103992DE65A8434EB35686ECF0E43572"/>
        <w:category>
          <w:name w:val="כללי"/>
          <w:gallery w:val="placeholder"/>
        </w:category>
        <w:types>
          <w:type w:val="bbPlcHdr"/>
        </w:types>
        <w:behaviors>
          <w:behavior w:val="content"/>
        </w:behaviors>
        <w:guid w:val="{6644D060-D248-4F89-9C45-41605B1A3A47}"/>
      </w:docPartPr>
      <w:docPartBody>
        <w:p w:rsidR="00345F57" w:rsidRDefault="006B4309" w:rsidP="006B4309">
          <w:pPr>
            <w:pStyle w:val="103992DE65A8434EB35686ECF0E43572"/>
          </w:pPr>
          <w:r>
            <w:rPr>
              <w:b/>
              <w:bCs/>
              <w:sz w:val="26"/>
              <w:szCs w:val="26"/>
              <w:rtl/>
            </w:rPr>
            <w:t>מספר זיהוי צד א</w:t>
          </w:r>
        </w:p>
      </w:docPartBody>
    </w:docPart>
    <w:docPart>
      <w:docPartPr>
        <w:name w:val="1AC23BB223994E6AA5E6B485E9F4FCF1"/>
        <w:category>
          <w:name w:val="כללי"/>
          <w:gallery w:val="placeholder"/>
        </w:category>
        <w:types>
          <w:type w:val="bbPlcHdr"/>
        </w:types>
        <w:behaviors>
          <w:behavior w:val="content"/>
        </w:behaviors>
        <w:guid w:val="{5488FD5B-73F4-451B-AB97-5592895443ED}"/>
      </w:docPartPr>
      <w:docPartBody>
        <w:p w:rsidR="00345F57" w:rsidRDefault="006B4309" w:rsidP="006B4309">
          <w:pPr>
            <w:pStyle w:val="1AC23BB223994E6AA5E6B485E9F4FCF1"/>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330449"/>
    <w:rsid w:val="00345F57"/>
    <w:rsid w:val="0041073D"/>
    <w:rsid w:val="006B4309"/>
    <w:rsid w:val="006E0C75"/>
    <w:rsid w:val="006F21A2"/>
    <w:rsid w:val="00845549"/>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4309"/>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6B4309"/>
    <w:pPr>
      <w:bidi/>
      <w:spacing w:after="0" w:line="240" w:lineRule="auto"/>
    </w:pPr>
    <w:rPr>
      <w:rFonts w:ascii="Arial (W1)" w:eastAsia="Times New Roman" w:hAnsi="Arial (W1)" w:cs="David"/>
      <w:sz w:val="24"/>
      <w:szCs w:val="24"/>
    </w:rPr>
  </w:style>
  <w:style w:type="paragraph" w:customStyle="1" w:styleId="547083FA95984873A5D85E58CEB98D61">
    <w:name w:val="547083FA95984873A5D85E58CEB98D61"/>
    <w:rsid w:val="006B4309"/>
    <w:pPr>
      <w:bidi/>
      <w:spacing w:after="160" w:line="259" w:lineRule="auto"/>
    </w:pPr>
  </w:style>
  <w:style w:type="paragraph" w:customStyle="1" w:styleId="103992DE65A8434EB35686ECF0E43572">
    <w:name w:val="103992DE65A8434EB35686ECF0E43572"/>
    <w:rsid w:val="006B4309"/>
    <w:pPr>
      <w:bidi/>
      <w:spacing w:after="160" w:line="259" w:lineRule="auto"/>
    </w:pPr>
  </w:style>
  <w:style w:type="paragraph" w:customStyle="1" w:styleId="1AC23BB223994E6AA5E6B485E9F4FCF1">
    <w:name w:val="1AC23BB223994E6AA5E6B485E9F4FCF1"/>
    <w:rsid w:val="006B4309"/>
    <w:pPr>
      <w:bidi/>
      <w:spacing w:after="160" w:line="259" w:lineRule="auto"/>
    </w:pPr>
  </w:style>
  <w:style w:type="paragraph" w:customStyle="1" w:styleId="3C0299102DB24DAD832590039125B32A">
    <w:name w:val="3C0299102DB24DAD832590039125B32A"/>
    <w:rsid w:val="006B4309"/>
    <w:pPr>
      <w:bidi/>
      <w:spacing w:after="160" w:line="259" w:lineRule="auto"/>
    </w:pPr>
  </w:style>
  <w:style w:type="paragraph" w:customStyle="1" w:styleId="BA62758BE8504A3C83A17507119E173E">
    <w:name w:val="BA62758BE8504A3C83A17507119E173E"/>
    <w:rsid w:val="006B430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248134451</CasePartyID>
        <PartyTypeID>3</PartyTypeID>
        <ActivityStatusID>1</ActivityStatusID>
        <LegalEntityID>3493000</LegalEntityID>
        <CaseLegalEntityID>122026397</CaseLegalEntityID>
        <AssistantRoleID>13</AssistantRoleID>
        <AuthenticationTypeID>13</AuthenticationTypeID>
        <AuthenticationTypeName>משרדי ממשלה</AuthenticationTypeName>
        <LegalEntityNumber>513441967</LegalEntityNumber>
        <IsMainPartyType>true</IsMainPartyType>
        <CaseDisplayIdentifier>31636-02-21</CaseDisplayIdentifier>
        <CaseTypeID>10077</CaseTypeID>
        <CaseTypeName>תיק פשעים חמורים (תפ"ח)</CaseTypeName>
        <CaseName>מדינת ישראל נ' מסעד(עציר)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ימימה אברמוביץ'</FullName>
        <FirstName>ימימה</FirstName>
        <LastName>אברמוביץ'</LastName>
        <PartyPropertyName/>
        <AuthenticationTypeAndNumber>מ.ר. 59635</AuthenticationTypeAndNumber>
        <RepresentatedOrRepresentativesNames>מחמד מסעד</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235174795</CasePartyID>
        <PartyTypeID>2</PartyTypeID>
        <ActivityStatusID>1</ActivityStatusID>
        <PartyAliasID>32</PartyAliasID>
        <PartyAliasName>בא כוח נאשמים</PartyAliasName>
        <LegalEntityID>72079996</LegalEntityID>
        <CaseLegalEntityID>118009800</CaseLegalEntityID>
        <AuthenticationTypeID>4</AuthenticationTypeID>
        <AuthenticationTypeName>מ.ר.</AuthenticationTypeName>
        <LegalEntityNumber>59635</LegalEntityNumber>
        <IsMainPartyType>true</IsMainPartyType>
        <CaseDisplayIdentifier>31636-02-21</CaseDisplayIdentifier>
        <CaseTypeID>10077</CaseTypeID>
        <CaseTypeName>תיק פשעים חמורים (תפ"ח)</CaseTypeName>
        <CaseName>מדינת ישראל נ' מסעד(עציר)</CaseName>
        <FullAddress>הוברמן 10 תל אביב -יפו </FullAddress>
        <EmailAddress>yemimama@gmail.com</EmailAddress>
        <MotionID>0</MotionID>
        <CasePleaID>0</CasePleaID>
        <LinkedCaseID>0</LinkedCaseID>
        <PartyID>2</PartyID>
        <CasePartyCategoryID>2</CasePartyCategoryID>
        <LegalEntityAddressID>73957178</LegalEntityAddressID>
        <LegalEntityEmailAddressID>68062807</LegalEntityEmailAddressID>
        <PleaTypeID>8</PleaTypeID>
        <LawyerOfficeName>משרד עו"ד ימימה אברמוביץ'</LawyerOfficeName>
        <LawyerOfficeID>72079997</LawyerOfficeID>
        <GroupPartyAlias/>
        <IsConverted>false</IsConverted>
        <LegalEntityNameID>75736588</LegalEntityNameID>
        <RepresentatedNamesOfAssistant/>
        <LegalEntityTypeID>4</LegalEntityTypeID>
        <IsVerdictExists>false</IsVerdictExists>
        <IsAsirAzir>false</IsAsirAzir>
        <IsPublicationProhibited>false</IsPublicationProhibited>
        <PublicationProhibitedFullName>ימימה אברמוביץ'</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222856984</CasePartyID>
        <PartyTypeID>1</PartyTypeID>
        <ActivityStatusID>1</ActivityStatusID>
        <PartyAliasID>11</PartyAliasID>
        <PartyAliasName>מאשימה</PartyAliasName>
        <OrdinalNumber>1</OrdinalNumber>
        <LegalEntityID>4</LegalEntityID>
        <CaseLegalEntityID>114257345</CaseLegalEntityID>
        <AuthenticationTypeID>41</AuthenticationTypeID>
        <AuthenticationTypeName>מדינת ישראל </AuthenticationTypeName>
        <LegalEntityNumber/>
        <IsMainPartyType>true</IsMainPartyType>
        <CaseDisplayIdentifier>31636-02-21</CaseDisplayIdentifier>
        <CaseTypeID>10077</CaseTypeID>
        <CaseTypeName>תיק פשעים חמורים (תפ"ח)</CaseTypeName>
        <CaseName>מדינת ישראל נ' מסעד(עציר)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מחמד מסעד (עציר)</FullName>
        <FirstName>מחמד</FirstName>
        <LastName>מסאעד</LastName>
        <PartyPropertyID>6</PartyPropertyID>
        <PartyPropertyName/>
        <AuthenticationTypeAndNumber>ת"ז 053858700</AuthenticationTypeAndNumber>
        <RepresentatedOrRepresentativesNames>ימימה אברמוביץ'</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222856986</CasePartyID>
        <PartyTypeID>1</PartyTypeID>
        <ActivityStatusID>1</ActivityStatusID>
        <PartyAliasID>13</PartyAliasID>
        <PartyAliasName>נאשם</PartyAliasName>
        <OrdinalNumber>1</OrdinalNumber>
        <LegalEntityID>34431127</LegalEntityID>
        <CaseLegalEntityID>114257347</CaseLegalEntityID>
        <AuthenticationTypeID>1</AuthenticationTypeID>
        <AuthenticationTypeName>ת"ז</AuthenticationTypeName>
        <LegalEntityNumber>053858700</LegalEntityNumber>
        <IsMainPartyType>true</IsMainPartyType>
        <CaseDisplayIdentifier>31636-02-21</CaseDisplayIdentifier>
        <CaseTypeID>10077</CaseTypeID>
        <CaseTypeName>תיק פשעים חמורים (תפ"ח)</CaseTypeName>
        <CaseName>מדינת ישראל נ' מסעד(עציר)</CaseName>
        <FullAddress>שכ 3 בית 62 ערוער </FullAddress>
        <MotionID>0</MotionID>
        <CasePleaID>0</CasePleaID>
        <FatherName>חליל</FatherName>
        <LinkedCaseID>0</LinkedCaseID>
        <PartyID>2</PartyID>
        <CasePartyCategoryID>2</CasePartyCategoryID>
        <LegalEntityAddressID>84874634</LegalEntityAddressID>
        <PleaTypeID>8</PleaTypeID>
        <GroupPartyAlias>נאשמים</GroupPartyAlias>
        <IsConverted>false</IsConverted>
        <LegalEntityRegisteredNameID>2022051</LegalEntityRegisteredNameID>
        <LegalEntityNameID>90958011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מחמד מסעד (עציר)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248070844</CasePartyID>
        <PartyTypeID>2</PartyTypeID>
        <ActivityStatusID>1</ActivityStatusID>
        <PartyAliasID>30</PartyAliasID>
        <PartyAliasName>בא כוח מאשימה</PartyAliasName>
        <OrdinalNumber>2</OrdinalNumber>
        <LegalEntityID>404183</LegalEntityID>
        <CaseLegalEntityID>122005147</CaseLegalEntityID>
        <AuthenticationTypeID>4</AuthenticationTypeID>
        <AuthenticationTypeName>מ.ר.</AuthenticationTypeName>
        <LegalEntityNumber>27974</LegalEntityNumber>
        <IsMainPartyType>true</IsMainPartyType>
        <CaseDisplayIdentifier>31636-02-21</CaseDisplayIdentifier>
        <CaseTypeID>10077</CaseTypeID>
        <CaseTypeName>תיק פשעים חמורים (תפ"ח)</CaseTypeName>
        <CaseName>מדינת ישראל נ' מסעד(עציר)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68073226</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43</RoleName>
        <IsSubProceeding>FALSE</IsSubProceeding>
        <FullName>יפית מכלוף</FullName>
        <FirstName>יפית</FirstName>
        <LastName>מכלוף</LastName>
        <PartyPropertyName/>
        <AuthenticationTypeAndNumber>ת"ז 039349014</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254153368</CasePartyID>
        <PartyTypeID>4</PartyTypeID>
        <ActivityStatusID>1</ActivityStatusID>
        <PartyAliasID>101</PartyAliasID>
        <PartyAliasName>עד בית משפט</PartyAliasName>
        <OrdinalNumber>43</OrdinalNumber>
        <LegalEntityID>74109702</LegalEntityID>
        <CaseLegalEntityID>123871339</CaseLegalEntityID>
        <AuthenticationTypeID>1</AuthenticationTypeID>
        <AuthenticationTypeName>ת"ז</AuthenticationTypeName>
        <LegalEntityNumber>039349014</LegalEntityNumber>
        <IsMainPartyType>true</IsMainPartyType>
        <CaseDisplayIdentifier>31636-02-21</CaseDisplayIdentifier>
        <CaseTypeID>10077</CaseTypeID>
        <CaseTypeName>תיק פשעים חמורים (תפ"ח)</CaseTypeName>
        <CaseName>מדינת ישראל נ' מסעד(עציר)</CaseName>
        <FullAddress>ברנארד והרמן צונדק 15 באר שבע </FullAddress>
        <MotionID>0</MotionID>
        <CasePleaID>0</CasePleaID>
        <FatherName>משה</FatherName>
        <LinkedCaseID>0</LinkedCaseID>
        <PartyID>1</PartyID>
        <CasePartyCategoryID>2</CasePartyCategoryID>
        <LegalEntityAddressID>87768016</LegalEntityAddressID>
        <PleaTypeID>8</PleaTypeID>
        <GroupPartyAlias/>
        <IsConverted>false</IsConverted>
        <LegalEntityRegisteredNameID>4883440</LegalEntityRegisteredNameID>
        <LegalEntityNameID>94872405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יפית מכלוף</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פרופסור נמרוד מימון</FullName>
        <FirstName>פרופסור נמרוד</FirstName>
        <LastName>מימון</LastName>
        <PartyPropertyName/>
        <AuthenticationTypeAndNumber>ת"ז </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249783082</CasePartyID>
        <PartyTypeID>4</PartyTypeID>
        <ActivityStatusID>1</ActivityStatusID>
        <PartyAliasID>71</PartyAliasID>
        <PartyAliasName>עד מאשימה</PartyAliasName>
        <OrdinalNumber>44</OrdinalNumber>
        <LegalEntityID>80928303</LegalEntityID>
        <CaseLegalEntityID>122520511</CaseLegalEntityID>
        <AuthenticationTypeID>1</AuthenticationTypeID>
        <AuthenticationTypeName>ת"ז</AuthenticationTypeName>
        <IsMainPartyType>true</IsMainPartyType>
        <CaseDisplayIdentifier>31636-02-21</CaseDisplayIdentifier>
        <CaseTypeID>10077</CaseTypeID>
        <CaseTypeName>תיק פשעים חמורים (תפ"ח)</CaseTypeName>
        <CaseName>מדינת ישראל נ' מסעד(עציר)</CaseName>
        <FullAddress>בית חולים סורוקה באר שבע באמצעות המאשימה</FullAddress>
        <MotionID>0</MotionID>
        <CasePleaID>0</CasePleaID>
        <LinkedCaseID>0</LinkedCaseID>
        <PartyID>1</PartyID>
        <CasePartyCategoryID>2</CasePartyCategoryID>
        <LegalEntityAddressID>87351157</LegalEntityAddressID>
        <PleaTypeID>8</PleaTypeID>
        <GroupPartyAlias/>
        <IsConverted>false</IsConverted>
        <LegalEntityNameID>94160709</LegalEntityNameID>
        <RepresentatedNamesOfAssistant/>
        <LegalEntityTypeID>1</LegalEntityTypeID>
        <IsVerdictExists>false</IsVerdictExists>
        <IsAsirAzir>false</IsAsirAzir>
        <IsPublicationProhibited>false</IsPublicationProhibited>
        <PublicationProhibitedFullName>פרופסור נמרוד מימון</PublicationProhibitedFullName>
      </CaseParties>
    </CasePartiesSelectionDS>
    <DecisionName>הכרעת דין  שניתנה ע"י  דניאל בן טולילה</DecisionName>
    <CourtDisplayName>בית המשפט המחוזי בבאר שבע</CourtDisplayName>
    <IsCaseJudgePanel>true</IsCaseJudgePanel>
    <DecisionSignatureDate>2023-12-18T13:01:04.8316149+02:00</DecisionSignatureDate>
    <OpenCaseDate>2021-02-15T12:17:00+02:00</OpenCaseDate>
    <ExternalCaseNumber>8333/2015</ExternalCaseNumber>
    <DecisionTypeID>3</DecisionTypeID>
    <DecisionSignatureUserName>דניאל בן טולילה</DecisionSignatureUserName>
    <DecisionSignatureDateHebrew>2023-12-18T13:01:04.8316149+02:00</DecisionSignatureDateHebrew>
    <DecisionWriterID>029522976@GOV.IL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מסעד(עציר)</CaseName>
    <DecisionNumberInCase>8</DecisionNumberInCase>
  </dt_Decision>
  <dt_DecisionCase>
    <DecisionID>0</DecisionID>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248134451</CasePartyID>
        <PartyTypeID>3</PartyTypeID>
        <ActivityStatusID>1</ActivityStatusID>
        <LegalEntityID>3493000</LegalEntityID>
        <CaseLegalEntityID>122026397</CaseLegalEntityID>
        <AssistantRoleID>13</AssistantRoleID>
        <AuthenticationTypeID>13</AuthenticationTypeID>
        <AuthenticationTypeName>משרדי ממשלה</AuthenticationTypeName>
        <LegalEntityNumber>513441967</LegalEntityNumber>
        <IsMainPartyType>true</IsMainPartyType>
        <CaseDisplayIdentifier>31636-02-21</CaseDisplayIdentifier>
        <CaseTypeID>10077</CaseTypeID>
        <CaseTypeName>תיק פשעים חמורים (תפ"ח)</CaseTypeName>
        <CaseName>מדינת ישראל נ' מסעד(עציר)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ימימה אברמוביץ'</FullName>
        <FirstName>ימימה</FirstName>
        <LastName>אברמוביץ'</LastName>
        <PartyPropertyName/>
        <AuthenticationTypeAndNumber>מ.ר. 59635</AuthenticationTypeAndNumber>
        <RepresentatedOrRepresentativesNames>מחמד מסעד</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235174795</CasePartyID>
        <PartyTypeID>2</PartyTypeID>
        <ActivityStatusID>1</ActivityStatusID>
        <PartyAliasID>32</PartyAliasID>
        <PartyAliasName>בא כוח נאשמים</PartyAliasName>
        <LegalEntityID>72079996</LegalEntityID>
        <CaseLegalEntityID>118009800</CaseLegalEntityID>
        <AuthenticationTypeID>4</AuthenticationTypeID>
        <AuthenticationTypeName>מ.ר.</AuthenticationTypeName>
        <LegalEntityNumber>59635</LegalEntityNumber>
        <IsMainPartyType>true</IsMainPartyType>
        <CaseDisplayIdentifier>31636-02-21</CaseDisplayIdentifier>
        <CaseTypeID>10077</CaseTypeID>
        <CaseTypeName>תיק פשעים חמורים (תפ"ח)</CaseTypeName>
        <CaseName>מדינת ישראל נ' מסעד(עציר)</CaseName>
        <FullAddress>הוברמן 10 תל אביב -יפו </FullAddress>
        <EmailAddress>yemimama@gmail.com</EmailAddress>
        <MotionID>0</MotionID>
        <CasePleaID>0</CasePleaID>
        <LinkedCaseID>0</LinkedCaseID>
        <PartyID>2</PartyID>
        <CasePartyCategoryID>2</CasePartyCategoryID>
        <LegalEntityAddressID>73957178</LegalEntityAddressID>
        <LegalEntityEmailAddressID>68062807</LegalEntityEmailAddressID>
        <PleaTypeID>8</PleaTypeID>
        <LawyerOfficeName>משרד עו"ד ימימה אברמוביץ'</LawyerOfficeName>
        <LawyerOfficeID>72079997</LawyerOfficeID>
        <GroupPartyAlias/>
        <IsConverted>false</IsConverted>
        <LegalEntityNameID>75736588</LegalEntityNameID>
        <RepresentatedNamesOfAssistant/>
        <LegalEntityTypeID>4</LegalEntityTypeID>
        <IsVerdictExists>false</IsVerdictExists>
        <IsAsirAzir>false</IsAsirAzir>
        <IsPublicationProhibited>false</IsPublicationProhibited>
        <PublicationProhibitedFullName>ימימה אברמוביץ'</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222856984</CasePartyID>
        <PartyTypeID>1</PartyTypeID>
        <ActivityStatusID>1</ActivityStatusID>
        <PartyAliasID>11</PartyAliasID>
        <PartyAliasName>מאשימה</PartyAliasName>
        <OrdinalNumber>1</OrdinalNumber>
        <LegalEntityID>4</LegalEntityID>
        <CaseLegalEntityID>114257345</CaseLegalEntityID>
        <AuthenticationTypeID>41</AuthenticationTypeID>
        <AuthenticationTypeName>מדינת ישראל </AuthenticationTypeName>
        <LegalEntityNumber/>
        <IsMainPartyType>true</IsMainPartyType>
        <CaseDisplayIdentifier>31636-02-21</CaseDisplayIdentifier>
        <CaseTypeID>10077</CaseTypeID>
        <CaseTypeName>תיק פשעים חמורים (תפ"ח)</CaseTypeName>
        <CaseName>מדינת ישראל נ' מסעד(עציר)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מחמד מסעד (עציר)</FullName>
        <FirstName>מחמד</FirstName>
        <LastName>מסאעד</LastName>
        <PartyPropertyID>6</PartyPropertyID>
        <PartyPropertyName/>
        <AuthenticationTypeAndNumber>ת"ז 053858700</AuthenticationTypeAndNumber>
        <RepresentatedOrRepresentativesNames>ימימה אברמוביץ'</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222856986</CasePartyID>
        <PartyTypeID>1</PartyTypeID>
        <ActivityStatusID>1</ActivityStatusID>
        <PartyAliasID>13</PartyAliasID>
        <PartyAliasName>נאשם</PartyAliasName>
        <OrdinalNumber>1</OrdinalNumber>
        <LegalEntityID>34431127</LegalEntityID>
        <CaseLegalEntityID>114257347</CaseLegalEntityID>
        <AuthenticationTypeID>1</AuthenticationTypeID>
        <AuthenticationTypeName>ת"ז</AuthenticationTypeName>
        <LegalEntityNumber>053858700</LegalEntityNumber>
        <IsMainPartyType>true</IsMainPartyType>
        <CaseDisplayIdentifier>31636-02-21</CaseDisplayIdentifier>
        <CaseTypeID>10077</CaseTypeID>
        <CaseTypeName>תיק פשעים חמורים (תפ"ח)</CaseTypeName>
        <CaseName>מדינת ישראל נ' מסעד(עציר)</CaseName>
        <FullAddress>שכ 3 בית 62 ערוער </FullAddress>
        <MotionID>0</MotionID>
        <CasePleaID>0</CasePleaID>
        <FatherName>חליל</FatherName>
        <LinkedCaseID>0</LinkedCaseID>
        <PartyID>2</PartyID>
        <CasePartyCategoryID>2</CasePartyCategoryID>
        <LegalEntityAddressID>84874634</LegalEntityAddressID>
        <PleaTypeID>8</PleaTypeID>
        <GroupPartyAlias>נאשמים</GroupPartyAlias>
        <IsConverted>false</IsConverted>
        <LegalEntityRegisteredNameID>2022051</LegalEntityRegisteredNameID>
        <LegalEntityNameID>90958011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מחמד מסעד (עציר)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248070844</CasePartyID>
        <PartyTypeID>2</PartyTypeID>
        <ActivityStatusID>1</ActivityStatusID>
        <PartyAliasID>30</PartyAliasID>
        <PartyAliasName>בא כוח מאשימה</PartyAliasName>
        <OrdinalNumber>2</OrdinalNumber>
        <LegalEntityID>404183</LegalEntityID>
        <CaseLegalEntityID>122005147</CaseLegalEntityID>
        <AuthenticationTypeID>4</AuthenticationTypeID>
        <AuthenticationTypeName>מ.ר.</AuthenticationTypeName>
        <LegalEntityNumber>27974</LegalEntityNumber>
        <IsMainPartyType>true</IsMainPartyType>
        <CaseDisplayIdentifier>31636-02-21</CaseDisplayIdentifier>
        <CaseTypeID>10077</CaseTypeID>
        <CaseTypeName>תיק פשעים חמורים (תפ"ח)</CaseTypeName>
        <CaseName>מדינת ישראל נ' מסעד(עציר)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68073226</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43</RoleName>
        <IsSubProceeding>FALSE</IsSubProceeding>
        <FullName>יפית מכלוף</FullName>
        <FirstName>יפית</FirstName>
        <LastName>מכלוף</LastName>
        <PartyPropertyName/>
        <AuthenticationTypeAndNumber>ת"ז 039349014</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254153368</CasePartyID>
        <PartyTypeID>4</PartyTypeID>
        <ActivityStatusID>1</ActivityStatusID>
        <PartyAliasID>101</PartyAliasID>
        <PartyAliasName>עד בית משפט</PartyAliasName>
        <OrdinalNumber>43</OrdinalNumber>
        <LegalEntityID>74109702</LegalEntityID>
        <CaseLegalEntityID>123871339</CaseLegalEntityID>
        <AuthenticationTypeID>1</AuthenticationTypeID>
        <AuthenticationTypeName>ת"ז</AuthenticationTypeName>
        <LegalEntityNumber>039349014</LegalEntityNumber>
        <IsMainPartyType>true</IsMainPartyType>
        <CaseDisplayIdentifier>31636-02-21</CaseDisplayIdentifier>
        <CaseTypeID>10077</CaseTypeID>
        <CaseTypeName>תיק פשעים חמורים (תפ"ח)</CaseTypeName>
        <CaseName>מדינת ישראל נ' מסעד(עציר)</CaseName>
        <FullAddress>ברנארד והרמן צונדק 15 באר שבע </FullAddress>
        <MotionID>0</MotionID>
        <CasePleaID>0</CasePleaID>
        <FatherName>משה</FatherName>
        <LinkedCaseID>0</LinkedCaseID>
        <PartyID>1</PartyID>
        <CasePartyCategoryID>2</CasePartyCategoryID>
        <LegalEntityAddressID>87768016</LegalEntityAddressID>
        <PleaTypeID>8</PleaTypeID>
        <GroupPartyAlias/>
        <IsConverted>false</IsConverted>
        <LegalEntityRegisteredNameID>4883440</LegalEntityRegisteredNameID>
        <LegalEntityNameID>94872405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יפית מכלוף</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פרופסור נמרוד מימון</FullName>
        <FirstName>פרופסור נמרוד</FirstName>
        <LastName>מימון</LastName>
        <PartyPropertyName/>
        <AuthenticationTypeAndNumber>ת"ז </AuthenticationTypeAndNumber>
        <RepresentatedOrRepresentativesNames/>
        <RepresentatedOrRepresentativesCount>0</RepresentatedOrRepresentativesCount>
        <InvitedBy/>
        <CaseID>78112931</CaseID>
        <CaseJudicialPersonPresentationDS>
          <CaseJudicalPersonActive>
            <CaseID>78112931</CaseID>
            <JudicialPersonID>029522976@GOV.IL</JudicialPersonID>
            <JudicialPersonTypeID>1</JudicialPersonTypeID>
            <JudicialTypeID>3</JudicialTypeID>
            <IsChairman>true</IsChairman>
            <TreatmentStartDate>2022-12-26T16:36:24.203+02:00</TreatmentStartDate>
            <TreatmentFinishDate>9999-12-31T23:59:59.997+02:00</TreatmentFinishDate>
            <IdentificationCardNumber>029522976</IdentificationCardNumber>
            <DisplayName>דניאל בן טולילה</DisplayName>
            <JudicialTypeName>הרכב שופטים</JudicialTypeName>
            <CaseJudicialGroupNumber>521565</CaseJudicialGroupNumber>
            <FirstName>דניאל</FirstName>
            <LastName>בן טולילה</LastName>
            <JudicialPersonTitle>שופט</JudicialPersonTitle>
          </CaseJudicalPersonActive>
          <CaseJudicalPersonActive>
            <CaseID>78112931</CaseID>
            <JudicialPersonID>032076986@GOV.IL</JudicialPersonID>
            <JudicialPersonTypeID>1</JudicialPersonTypeID>
            <JudicialTypeID>3</JudicialTypeID>
            <IsChairman>false</IsChairman>
            <TreatmentStartDate>2022-12-26T16:36:24.203+02:00</TreatmentStartDate>
            <TreatmentFinishDate>9999-12-31T23:59:59.997+02:00</TreatmentFinishDate>
            <IdentificationCardNumber>032076986</IdentificationCardNumber>
            <DisplayName>טל לחיאני שהם</DisplayName>
            <JudicialTypeName>הרכב שופטים</JudicialTypeName>
            <CaseJudicialGroupNumber>521565</CaseJudicialGroupNumber>
            <FirstName>טל</FirstName>
            <LastName>לחיאני שהם</LastName>
            <JudicialPersonTitle>שופט</JudicialPersonTitle>
          </CaseJudicalPersonActive>
          <CaseJudicalPersonActive>
            <CaseID>78112931</CaseID>
            <JudicialPersonID>028781599@GOV.IL</JudicialPersonID>
            <JudicialPersonTypeID>1</JudicialPersonTypeID>
            <JudicialTypeID>3</JudicialTypeID>
            <IsChairman>false</IsChairman>
            <TreatmentStartDate>2022-12-26T16:36:24.203+02:00</TreatmentStartDate>
            <TreatmentFinishDate>9999-12-31T23:59:59.997+02:00</TreatmentFinishDate>
            <IdentificationCardNumber>028781599</IdentificationCardNumber>
            <DisplayName>יואב עטר</DisplayName>
            <JudicialTypeName>הרכב שופטים</JudicialTypeName>
            <CaseJudicialGroupNumber>521565</CaseJudicialGroupNumber>
            <FirstName>יואב</FirstName>
            <LastName>עטר</LastName>
            <JudicialPersonTitle>שופט</JudicialPersonTitle>
          </CaseJudicalPersonActive>
        </CaseJudicialPersonPresentationDS>
        <CasePartyID>249783082</CasePartyID>
        <PartyTypeID>4</PartyTypeID>
        <ActivityStatusID>1</ActivityStatusID>
        <PartyAliasID>71</PartyAliasID>
        <PartyAliasName>עד מאשימה</PartyAliasName>
        <OrdinalNumber>44</OrdinalNumber>
        <LegalEntityID>80928303</LegalEntityID>
        <CaseLegalEntityID>122520511</CaseLegalEntityID>
        <AuthenticationTypeID>1</AuthenticationTypeID>
        <AuthenticationTypeName>ת"ז</AuthenticationTypeName>
        <IsMainPartyType>true</IsMainPartyType>
        <CaseDisplayIdentifier>31636-02-21</CaseDisplayIdentifier>
        <CaseTypeID>10077</CaseTypeID>
        <CaseTypeName>תיק פשעים חמורים (תפ"ח)</CaseTypeName>
        <CaseName>מדינת ישראל נ' מסעד(עציר)</CaseName>
        <FullAddress>בית חולים סורוקה באר שבע באמצעות המאשימה</FullAddress>
        <MotionID>0</MotionID>
        <CasePleaID>0</CasePleaID>
        <LinkedCaseID>0</LinkedCaseID>
        <PartyID>1</PartyID>
        <CasePartyCategoryID>2</CasePartyCategoryID>
        <LegalEntityAddressID>87351157</LegalEntityAddressID>
        <PleaTypeID>8</PleaTypeID>
        <GroupPartyAlias/>
        <IsConverted>false</IsConverted>
        <LegalEntityNameID>94160709</LegalEntityNameID>
        <RepresentatedNamesOfAssistant/>
        <LegalEntityTypeID>1</LegalEntityTypeID>
        <IsVerdictExists>false</IsVerdictExists>
        <IsAsirAzir>false</IsAsirAzir>
        <IsPublicationProhibited>false</IsPublicationProhibited>
        <PublicationProhibitedFullName>פרופסור נמרוד מימון</PublicationProhibitedFullName>
      </CaseParties>
    </CasePartiesSelectionDS>
    <CaseName>מדינת ישראל נ' מסעד(עציר)</CaseName>
    <CaseDisplayIdentifier>31636-02-21</CaseDisplayIdentifier>
    <CaseTypeShortName>תפ"ח</CaseTypeShortName>
  </dt_DecisionCase>
  <dt_DecisionJudgePanel>
    <JudgeID>029522976@GOV.IL</JudgeID>
    <DisplayName>בן טולילה</DisplayName>
    <RoleName>שופט</RoleName>
    <UserTitleName>שופט</UserTitleName>
  </dt_DecisionJudgePanel>
  <dt_DecisionJudgePanel>
    <JudgeID>032076986@GOV.IL</JudgeID>
    <DisplayName>לחיאני שהם</DisplayName>
    <RoleName>שופט</RoleName>
    <UserTitleName>שופטת</UserTitleName>
  </dt_DecisionJudgePanel>
  <dt_DecisionJudgePanel>
    <JudgeID>028781599@GOV.IL</JudgeID>
    <DisplayName>עטר</DisplayName>
    <RoleName>שופט</RoleName>
    <UserTitleName>שופט</UserTitleName>
  </dt_DecisionJudgePanel>
  <dt_LegalEntityDetails>
    <Fax>077-2700046</Fax>
    <PartyID>2</PartyID>
    <PartyTypeID>2</PartyTypeID>
    <DecisionID>0</DecisionID>
    <StreetName>הוברמן 10</StreetName>
    <ZipCode>64075</ZipCode>
    <CityName>תל אביב -יפו</CityName>
    <FullName>ימימה אברמוביץ'</FullName>
    <Email>yemimama@gmail.com</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שכ 3 בית 62</StreetName>
    <CityName>ערוער</CityName>
    <FullName>מחמד מסעד</FullName>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דניאל בן טולילה, שופטת טל לחיאני שהם, שופט יואב עטר</CaseJudicalPerson>
  </dt_CaseJudicalPersonActive>
  <dt_Sitting>
    <FutureSittingDate>2023-12-19T15:30:00+02:00</FutureSittingDate>
    <PreviousMeetingDate>2023-07-06T16:00:00+03:00</PreviousMeetingDate>
    <NextSittingTypeID>35</NextSittingTypeID>
    <PreviousSittingTypeID>3</PreviousSittingTypeID>
    <NextMeetingDisplayName>דניאל בן טולילה, טל לחיאני שהם, יואב עטר</NextMeetingDisplayName>
    <NextMeetingUserUPN>028781599@GOV.IL, 029522976@GOV.IL, 032076986@GOV.IL</NextMeetingUserUPN>
    <PreviousMeetingDisplayName>דניאל בן טולילה, טל לחיאני שהם, יואב עטר</PreviousMeetingDisplayName>
    <PreviousMeetingUserUPN>028781599@GOV.IL, 029522976@GOV.IL, 032076986@GOV.IL</PreviousMeetingUserUPN>
  </dt_Sitting>
</DecisionTemplateDS>
</file>

<file path=customXml/itemProps1.xml><?xml version="1.0" encoding="utf-8"?>
<ds:datastoreItem xmlns:ds="http://schemas.openxmlformats.org/officeDocument/2006/customXml" ds:itemID="{00F6DF62-FC94-458B-8F92-86C0F93CDB2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12711</Words>
  <Characters>63559</Characters>
  <Application>Microsoft Office Word</Application>
  <DocSecurity>0</DocSecurity>
  <Lines>529</Lines>
  <Paragraphs>152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2023-12-19T09:36:00Z</cp:lastPrinted>
  <dcterms:created xsi:type="dcterms:W3CDTF">2023-12-20T08:56:00Z</dcterms:created>
  <dcterms:modified xsi:type="dcterms:W3CDTF">2023-12-20T08:56:00Z</dcterms:modified>
</cp:coreProperties>
</file>